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1D" w:rsidRPr="00EC16F3" w:rsidRDefault="00041D1D" w:rsidP="00041D1D">
      <w:pPr>
        <w:spacing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16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ван </w:t>
      </w:r>
      <w:r w:rsidRPr="00EC16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ладимирович</w:t>
      </w:r>
      <w:r w:rsidRPr="00EC16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ГРИГОРЕВИЧ,  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натолий </w:t>
      </w:r>
      <w:r w:rsidRPr="00EC16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нтонович</w:t>
      </w:r>
      <w:r w:rsidRPr="00EC16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БАЛАЙ, 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иктор </w:t>
      </w:r>
      <w:r w:rsidRPr="00EC16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нтонович</w:t>
      </w:r>
      <w:r w:rsidRPr="00EC16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ТЕРЕНЯ</w:t>
      </w:r>
    </w:p>
    <w:p w:rsidR="00041D1D" w:rsidRPr="00EC16F3" w:rsidRDefault="00041D1D" w:rsidP="00041D1D">
      <w:pPr>
        <w:spacing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1D1D" w:rsidRPr="00EC16F3" w:rsidRDefault="00041D1D" w:rsidP="00041D1D">
      <w:pPr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6F3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Республика Беларусь, Минск, УО «Белорусский государственный</w:t>
      </w:r>
    </w:p>
    <w:p w:rsidR="00041D1D" w:rsidRPr="00EC16F3" w:rsidRDefault="00041D1D" w:rsidP="00041D1D">
      <w:pPr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6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педагогический университет имени Максима Танка» </w:t>
      </w:r>
    </w:p>
    <w:p w:rsidR="00041D1D" w:rsidRPr="00EC16F3" w:rsidRDefault="00041D1D" w:rsidP="00041D1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1D1D" w:rsidRPr="00EC16F3" w:rsidRDefault="00041D1D" w:rsidP="00041D1D">
      <w:pPr>
        <w:spacing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1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6F3">
        <w:rPr>
          <w:rFonts w:ascii="Times New Roman" w:hAnsi="Times New Roman" w:cs="Times New Roman"/>
          <w:b/>
          <w:color w:val="000000"/>
          <w:sz w:val="28"/>
          <w:szCs w:val="28"/>
        </w:rPr>
        <w:t>УРОВЕНЬ ФИЗИЧЕСКОГО СОСТОЯНИЯ СТУДЕНТОВ</w:t>
      </w:r>
      <w:r w:rsidRPr="00EC16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41D1D" w:rsidRPr="00EC16F3" w:rsidRDefault="00041D1D" w:rsidP="00041D1D">
      <w:pPr>
        <w:spacing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16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ПЕРВОГО КУРСА ФАКУЛЬТЕТА ЕСТЕСТВОЗНАНИЯ</w:t>
      </w:r>
    </w:p>
    <w:p w:rsidR="00041D1D" w:rsidRPr="00EC16F3" w:rsidRDefault="00041D1D" w:rsidP="00041D1D">
      <w:pPr>
        <w:spacing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16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БГПУ ИМЕНИ  МАКСИМА ТАНКА</w:t>
      </w:r>
    </w:p>
    <w:p w:rsidR="00041D1D" w:rsidRPr="00EC16F3" w:rsidRDefault="00041D1D" w:rsidP="00041D1D">
      <w:pPr>
        <w:spacing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1D1D" w:rsidRPr="00EC16F3" w:rsidRDefault="00041D1D" w:rsidP="00041D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16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Summary</w:t>
      </w:r>
      <w:r w:rsidRPr="00041D1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041D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001F">
        <w:rPr>
          <w:rFonts w:ascii="Times New Roman" w:hAnsi="Times New Roman" w:cs="Times New Roman"/>
          <w:sz w:val="24"/>
          <w:szCs w:val="24"/>
          <w:lang w:val="en-US"/>
        </w:rPr>
        <w:t>First-year students in the Faculty of Natural basically have "high" and "medium" level of physical development and functional status.</w:t>
      </w:r>
      <w:r w:rsidRPr="00EC1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F001F">
        <w:rPr>
          <w:rFonts w:ascii="Times New Roman" w:hAnsi="Times New Roman" w:cs="Times New Roman"/>
          <w:sz w:val="24"/>
          <w:szCs w:val="24"/>
          <w:lang w:val="en-US"/>
        </w:rPr>
        <w:t>Physical training boys is</w:t>
      </w:r>
      <w:proofErr w:type="gramEnd"/>
      <w:r w:rsidRPr="009F001F">
        <w:rPr>
          <w:rFonts w:ascii="Times New Roman" w:hAnsi="Times New Roman" w:cs="Times New Roman"/>
          <w:sz w:val="24"/>
          <w:szCs w:val="24"/>
          <w:lang w:val="en-US"/>
        </w:rPr>
        <w:t xml:space="preserve"> "high", "medium" and "low" level. The physical condition of a vast majority of students corresponds to the "average" level.</w:t>
      </w:r>
    </w:p>
    <w:p w:rsidR="00041D1D" w:rsidRPr="00EC16F3" w:rsidRDefault="00041D1D" w:rsidP="00041D1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041D1D" w:rsidRPr="00EC16F3" w:rsidRDefault="00041D1D" w:rsidP="00041D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6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Резюме. </w:t>
      </w:r>
      <w:r w:rsidRPr="00EC16F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C16F3">
        <w:rPr>
          <w:rFonts w:ascii="Times New Roman" w:hAnsi="Times New Roman" w:cs="Times New Roman"/>
          <w:sz w:val="24"/>
          <w:szCs w:val="24"/>
        </w:rPr>
        <w:t xml:space="preserve">туденты-первокурсники факультета естествознания в основном имеют «высокий» и «средний» уровни физического развития и функционального состояния. Физическая подготовленность юношей находится на «высоком», «среднем» и «низком» уровнях. Физическое состояние у преобладающего большинства студентов соответствует «среднему» уровню. </w:t>
      </w:r>
    </w:p>
    <w:p w:rsidR="00041D1D" w:rsidRPr="00EC16F3" w:rsidRDefault="00041D1D" w:rsidP="00041D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1D1D" w:rsidRPr="00EC16F3" w:rsidRDefault="00041D1D" w:rsidP="00041D1D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Актуальность. </w:t>
      </w:r>
      <w:r w:rsidRPr="00EC16F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EC16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состояния здоровья, физического развития и физической подготовленности студенческой молодёжи зависит будущее нашей страны. </w:t>
      </w:r>
      <w:r w:rsidRPr="00EC16F3">
        <w:rPr>
          <w:rFonts w:ascii="Times New Roman" w:hAnsi="Times New Roman" w:cs="Times New Roman"/>
          <w:color w:val="000000"/>
          <w:sz w:val="28"/>
          <w:szCs w:val="28"/>
        </w:rPr>
        <w:t>Объективная информация об</w:t>
      </w:r>
      <w:r w:rsidRPr="00EC16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уровне физического состояния позволяет корректировать средства и методы педагогического воздействия на организм студентов. </w:t>
      </w:r>
    </w:p>
    <w:p w:rsidR="00041D1D" w:rsidRPr="00EC16F3" w:rsidRDefault="00041D1D" w:rsidP="00041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6F3">
        <w:rPr>
          <w:rFonts w:ascii="Times New Roman" w:hAnsi="Times New Roman" w:cs="Times New Roman"/>
          <w:b/>
          <w:sz w:val="28"/>
          <w:szCs w:val="28"/>
        </w:rPr>
        <w:t>Цель работы.</w:t>
      </w:r>
      <w:r w:rsidRPr="00EC16F3">
        <w:rPr>
          <w:rFonts w:ascii="Times New Roman" w:hAnsi="Times New Roman" w:cs="Times New Roman"/>
          <w:sz w:val="28"/>
          <w:szCs w:val="28"/>
        </w:rPr>
        <w:t xml:space="preserve"> Определить уровень</w:t>
      </w:r>
      <w:r w:rsidRPr="00EC16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физического развития,</w:t>
      </w:r>
      <w:r w:rsidRPr="00EC16F3">
        <w:rPr>
          <w:rFonts w:ascii="Times New Roman" w:hAnsi="Times New Roman" w:cs="Times New Roman"/>
          <w:sz w:val="28"/>
          <w:szCs w:val="28"/>
        </w:rPr>
        <w:t xml:space="preserve"> </w:t>
      </w:r>
      <w:r w:rsidRPr="00EC16F3">
        <w:rPr>
          <w:rFonts w:ascii="Times New Roman" w:hAnsi="Times New Roman" w:cs="Times New Roman"/>
          <w:bCs/>
          <w:color w:val="000000"/>
          <w:sz w:val="28"/>
          <w:szCs w:val="28"/>
        </w:rPr>
        <w:t>функционального состояния и физической подготовленности студентов первого курса факультета естествознания БГПУ</w:t>
      </w:r>
      <w:r w:rsidRPr="00EC16F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41D1D" w:rsidRPr="00EC16F3" w:rsidRDefault="00041D1D" w:rsidP="00041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6F3">
        <w:rPr>
          <w:rFonts w:ascii="Times New Roman" w:hAnsi="Times New Roman" w:cs="Times New Roman"/>
          <w:b/>
          <w:sz w:val="28"/>
          <w:szCs w:val="28"/>
        </w:rPr>
        <w:t>Методы и организация исследования</w:t>
      </w:r>
      <w:r w:rsidRPr="00EC16F3">
        <w:rPr>
          <w:rFonts w:ascii="Times New Roman" w:hAnsi="Times New Roman" w:cs="Times New Roman"/>
          <w:sz w:val="28"/>
          <w:szCs w:val="28"/>
        </w:rPr>
        <w:t>.  В работе использовались следующие методы исследования: педагогическое наблюдение, тестирование</w:t>
      </w:r>
      <w:r w:rsidRPr="00EC16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оценка физического состояния студентов, статистическая обработка полученных данных.</w:t>
      </w:r>
      <w:r w:rsidRPr="00EC16F3">
        <w:rPr>
          <w:rFonts w:ascii="Times New Roman" w:hAnsi="Times New Roman" w:cs="Times New Roman"/>
          <w:sz w:val="28"/>
          <w:szCs w:val="28"/>
        </w:rPr>
        <w:t xml:space="preserve"> Обследовались юноши первого курса факультета естествознания в 2010-2011 учебном году (сентябрь 2010, май 2011 г.). </w:t>
      </w:r>
    </w:p>
    <w:p w:rsidR="00041D1D" w:rsidRPr="00EC16F3" w:rsidRDefault="00041D1D" w:rsidP="00041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6F3">
        <w:rPr>
          <w:rFonts w:ascii="Times New Roman" w:hAnsi="Times New Roman" w:cs="Times New Roman"/>
          <w:sz w:val="28"/>
          <w:szCs w:val="28"/>
        </w:rPr>
        <w:t xml:space="preserve">Физическое развитие определялось по росту и массе тела; функциональное состояние по пробам Штанге и </w:t>
      </w:r>
      <w:proofErr w:type="spellStart"/>
      <w:r w:rsidRPr="00EC16F3">
        <w:rPr>
          <w:rFonts w:ascii="Times New Roman" w:hAnsi="Times New Roman" w:cs="Times New Roman"/>
          <w:sz w:val="28"/>
          <w:szCs w:val="28"/>
        </w:rPr>
        <w:t>Генчи</w:t>
      </w:r>
      <w:proofErr w:type="spellEnd"/>
      <w:r w:rsidRPr="00EC16F3">
        <w:rPr>
          <w:rFonts w:ascii="Times New Roman" w:hAnsi="Times New Roman" w:cs="Times New Roman"/>
          <w:sz w:val="28"/>
          <w:szCs w:val="28"/>
        </w:rPr>
        <w:t>, пробе на дозированную нагрузку, частоте сердечных сокращений в покое; физическая подготовленность – по шести контрольным нормативам, характеризующим основные двигательные способности студентов.</w:t>
      </w:r>
    </w:p>
    <w:p w:rsidR="00041D1D" w:rsidRPr="00EC16F3" w:rsidRDefault="00041D1D" w:rsidP="00041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6F3">
        <w:rPr>
          <w:rFonts w:ascii="Times New Roman" w:hAnsi="Times New Roman" w:cs="Times New Roman"/>
          <w:sz w:val="28"/>
          <w:szCs w:val="28"/>
        </w:rPr>
        <w:t xml:space="preserve">По разработанным на кафедре физического воспитания и спорта нормативным требованиям результаты тестирования оценивались в баллах от 1 до 10. </w:t>
      </w:r>
      <w:proofErr w:type="gramStart"/>
      <w:r w:rsidRPr="00EC16F3">
        <w:rPr>
          <w:rFonts w:ascii="Times New Roman" w:hAnsi="Times New Roman" w:cs="Times New Roman"/>
          <w:sz w:val="28"/>
          <w:szCs w:val="28"/>
        </w:rPr>
        <w:t xml:space="preserve">В зависимости от набранной суммы баллов и количества выполненных тестов уровень физического развития и функционального состояния, уровень физической подготовленности, а также уровень общего </w:t>
      </w:r>
      <w:r w:rsidRPr="00EC16F3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физического состояния тестируемых определялся как "очень высокий", "высокий", "средний", "низкий" и "очень низкий". </w:t>
      </w:r>
      <w:proofErr w:type="gramEnd"/>
    </w:p>
    <w:p w:rsidR="00041D1D" w:rsidRPr="00EC16F3" w:rsidRDefault="00041D1D" w:rsidP="00041D1D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6F3">
        <w:rPr>
          <w:rFonts w:ascii="Times New Roman" w:hAnsi="Times New Roman" w:cs="Times New Roman"/>
          <w:b/>
          <w:sz w:val="28"/>
          <w:szCs w:val="28"/>
        </w:rPr>
        <w:t xml:space="preserve">Результаты и их обсуждение. </w:t>
      </w:r>
      <w:r w:rsidRPr="00EC16F3">
        <w:rPr>
          <w:rFonts w:ascii="Times New Roman" w:hAnsi="Times New Roman" w:cs="Times New Roman"/>
          <w:sz w:val="28"/>
          <w:szCs w:val="28"/>
        </w:rPr>
        <w:t xml:space="preserve"> Установлено (рис.1),</w:t>
      </w:r>
      <w:r w:rsidRPr="00EC16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количество</w:t>
      </w:r>
      <w:r w:rsidRPr="00EC1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D1D" w:rsidRPr="00EC16F3" w:rsidRDefault="00041D1D" w:rsidP="00041D1D">
      <w:pPr>
        <w:spacing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6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41D1D" w:rsidRPr="00EC16F3" w:rsidRDefault="00041D1D" w:rsidP="00041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6F3">
        <w:rPr>
          <w:noProof/>
        </w:rPr>
        <w:drawing>
          <wp:inline distT="0" distB="0" distL="0" distR="0">
            <wp:extent cx="5781675" cy="4210050"/>
            <wp:effectExtent l="0" t="0" r="9525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1D1D" w:rsidRPr="00EC16F3" w:rsidRDefault="00041D1D" w:rsidP="00041D1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7" w:type="dxa"/>
        <w:jc w:val="center"/>
        <w:tblInd w:w="93" w:type="dxa"/>
        <w:tblLook w:val="04A0"/>
      </w:tblPr>
      <w:tblGrid>
        <w:gridCol w:w="9577"/>
      </w:tblGrid>
      <w:tr w:rsidR="00041D1D" w:rsidRPr="00EC16F3" w:rsidTr="001417DE">
        <w:trPr>
          <w:trHeight w:val="375"/>
          <w:jc w:val="center"/>
        </w:trPr>
        <w:tc>
          <w:tcPr>
            <w:tcW w:w="9577" w:type="dxa"/>
            <w:noWrap/>
            <w:vAlign w:val="bottom"/>
          </w:tcPr>
          <w:p w:rsidR="00041D1D" w:rsidRPr="00EC16F3" w:rsidRDefault="00041D1D" w:rsidP="001417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16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Рис. 1.</w:t>
            </w:r>
            <w:r w:rsidRPr="00EC16F3">
              <w:rPr>
                <w:rFonts w:ascii="Times New Roman" w:eastAsiaTheme="minorEastAsia" w:hAnsi="Times New Roman" w:cs="Times New Roman"/>
                <w:color w:val="000000"/>
                <w:kern w:val="24"/>
                <w:sz w:val="28"/>
                <w:szCs w:val="28"/>
              </w:rPr>
              <w:t xml:space="preserve"> Уровни ф</w:t>
            </w:r>
            <w:r w:rsidRPr="00EC16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изического развития и функционального состояния</w:t>
            </w:r>
          </w:p>
          <w:p w:rsidR="00041D1D" w:rsidRPr="00EC16F3" w:rsidRDefault="00041D1D" w:rsidP="001417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16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студентов </w:t>
            </w:r>
            <w:r w:rsidRPr="00EC16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EC16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курса факультета естествознания БГПУ</w:t>
            </w:r>
          </w:p>
          <w:p w:rsidR="00041D1D" w:rsidRPr="00EC16F3" w:rsidRDefault="00041D1D" w:rsidP="001417DE">
            <w:pPr>
              <w:spacing w:line="240" w:lineRule="auto"/>
              <w:ind w:firstLine="709"/>
              <w:jc w:val="both"/>
            </w:pPr>
          </w:p>
        </w:tc>
      </w:tr>
    </w:tbl>
    <w:p w:rsidR="00041D1D" w:rsidRPr="00EC16F3" w:rsidRDefault="00041D1D" w:rsidP="00041D1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6F3">
        <w:rPr>
          <w:rFonts w:ascii="Times New Roman" w:hAnsi="Times New Roman" w:cs="Times New Roman"/>
          <w:sz w:val="28"/>
          <w:szCs w:val="28"/>
        </w:rPr>
        <w:t>студентов</w:t>
      </w:r>
      <w:r w:rsidRPr="00EC16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 «с</w:t>
      </w:r>
      <w:r w:rsidRPr="00EC16F3">
        <w:rPr>
          <w:rFonts w:ascii="Times New Roman" w:hAnsi="Times New Roman" w:cs="Times New Roman"/>
          <w:sz w:val="28"/>
          <w:szCs w:val="28"/>
        </w:rPr>
        <w:t xml:space="preserve">редним» уровнем </w:t>
      </w:r>
      <w:r w:rsidRPr="00EC16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физического развития и функционального состояния </w:t>
      </w:r>
      <w:r w:rsidRPr="00EC16F3">
        <w:rPr>
          <w:rFonts w:ascii="Times New Roman" w:hAnsi="Times New Roman" w:cs="Times New Roman"/>
          <w:sz w:val="28"/>
          <w:szCs w:val="28"/>
        </w:rPr>
        <w:t>уменьшилось с  47% в первом семестре до 37% - во втором, а количество студентов с</w:t>
      </w:r>
      <w:r w:rsidRPr="00EC16F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C16F3">
        <w:rPr>
          <w:rFonts w:ascii="Times New Roman" w:hAnsi="Times New Roman" w:cs="Times New Roman"/>
          <w:sz w:val="28"/>
          <w:szCs w:val="28"/>
        </w:rPr>
        <w:t xml:space="preserve">высоким» уровнем - </w:t>
      </w:r>
      <w:r w:rsidRPr="00EC16F3">
        <w:rPr>
          <w:rFonts w:ascii="Times New Roman" w:hAnsi="Times New Roman" w:cs="Times New Roman"/>
          <w:color w:val="000000"/>
          <w:sz w:val="28"/>
          <w:szCs w:val="28"/>
        </w:rPr>
        <w:t xml:space="preserve"> возросло с 41% в первом семестре до 53% во втором</w:t>
      </w:r>
      <w:r w:rsidRPr="00EC16F3">
        <w:rPr>
          <w:rFonts w:ascii="Times New Roman" w:hAnsi="Times New Roman" w:cs="Times New Roman"/>
          <w:sz w:val="28"/>
          <w:szCs w:val="28"/>
        </w:rPr>
        <w:t>. «Очень высокий» уровень  имели  3% и 1%  юношей (соответственно в 1 и 2 семестрах).</w:t>
      </w:r>
    </w:p>
    <w:tbl>
      <w:tblPr>
        <w:tblW w:w="9577" w:type="dxa"/>
        <w:tblLook w:val="04A0"/>
      </w:tblPr>
      <w:tblGrid>
        <w:gridCol w:w="9577"/>
      </w:tblGrid>
      <w:tr w:rsidR="00041D1D" w:rsidRPr="00EC16F3" w:rsidTr="001417DE">
        <w:trPr>
          <w:trHeight w:val="375"/>
        </w:trPr>
        <w:tc>
          <w:tcPr>
            <w:tcW w:w="9577" w:type="dxa"/>
            <w:noWrap/>
            <w:vAlign w:val="bottom"/>
            <w:hideMark/>
          </w:tcPr>
          <w:p w:rsidR="00041D1D" w:rsidRPr="00EC16F3" w:rsidRDefault="00041D1D" w:rsidP="001417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6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определения уровня ф</w:t>
            </w:r>
            <w:r w:rsidRPr="00EC16F3">
              <w:rPr>
                <w:rFonts w:ascii="Times New Roman" w:hAnsi="Times New Roman" w:cs="Times New Roman"/>
                <w:sz w:val="28"/>
                <w:szCs w:val="28"/>
              </w:rPr>
              <w:t>изической подготовленности испытуемых</w:t>
            </w:r>
          </w:p>
          <w:p w:rsidR="00041D1D" w:rsidRPr="00EC16F3" w:rsidRDefault="00041D1D" w:rsidP="001417DE">
            <w:pPr>
              <w:spacing w:line="240" w:lineRule="auto"/>
              <w:jc w:val="both"/>
            </w:pPr>
            <w:r w:rsidRPr="00EC16F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использовались следующие тесты: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C16F3">
                <w:rPr>
                  <w:rFonts w:ascii="Times New Roman" w:hAnsi="Times New Roman" w:cs="Times New Roman"/>
                  <w:sz w:val="28"/>
                  <w:szCs w:val="28"/>
                </w:rPr>
                <w:t>30 м (скоростные способности)</w:t>
              </w:r>
            </w:smartTag>
            <w:r w:rsidRPr="00EC16F3">
              <w:rPr>
                <w:rFonts w:ascii="Times New Roman" w:hAnsi="Times New Roman" w:cs="Times New Roman"/>
                <w:sz w:val="28"/>
                <w:szCs w:val="28"/>
              </w:rPr>
              <w:t xml:space="preserve">, прыжок в длину с места (скоростно-силовые способности), челночный бег 4х9 м (координационные способности), шестиминутный бег (общая выносливость), наклон вперед из </w:t>
            </w:r>
            <w:proofErr w:type="gramStart"/>
            <w:r w:rsidRPr="00EC16F3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EC16F3">
              <w:rPr>
                <w:rFonts w:ascii="Times New Roman" w:hAnsi="Times New Roman" w:cs="Times New Roman"/>
                <w:sz w:val="28"/>
                <w:szCs w:val="28"/>
              </w:rPr>
              <w:t xml:space="preserve"> сидя (гибкость), подтягивание на перекладине (силовые способности). Результаты приведены на рисунке 2.</w:t>
            </w:r>
          </w:p>
        </w:tc>
      </w:tr>
    </w:tbl>
    <w:p w:rsidR="00041D1D" w:rsidRPr="00EC16F3" w:rsidRDefault="00041D1D" w:rsidP="00041D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F3">
        <w:rPr>
          <w:noProof/>
        </w:rPr>
        <w:lastRenderedPageBreak/>
        <w:drawing>
          <wp:inline distT="0" distB="0" distL="0" distR="0">
            <wp:extent cx="5810250" cy="3990975"/>
            <wp:effectExtent l="0" t="0" r="1905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41D1D" w:rsidRPr="00EC16F3" w:rsidRDefault="00041D1D" w:rsidP="00041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D1D" w:rsidRPr="00EC16F3" w:rsidRDefault="00041D1D" w:rsidP="00041D1D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6F3">
        <w:rPr>
          <w:rFonts w:ascii="Times New Roman" w:hAnsi="Times New Roman" w:cs="Times New Roman"/>
          <w:bCs/>
          <w:color w:val="000000"/>
          <w:sz w:val="28"/>
          <w:szCs w:val="28"/>
        </w:rPr>
        <w:t>Рис. 2.</w:t>
      </w:r>
      <w:r w:rsidRPr="00EC16F3">
        <w:rPr>
          <w:rFonts w:ascii="Times New Roman" w:hAnsi="Times New Roman" w:cs="Times New Roman"/>
          <w:sz w:val="28"/>
          <w:szCs w:val="28"/>
        </w:rPr>
        <w:t xml:space="preserve"> </w:t>
      </w:r>
      <w:r w:rsidRPr="00EC16F3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Уровни ф</w:t>
      </w:r>
      <w:r w:rsidRPr="00EC16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изической подготовленности студентов </w:t>
      </w:r>
      <w:r w:rsidRPr="00EC16F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EC16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курса</w:t>
      </w:r>
    </w:p>
    <w:p w:rsidR="00041D1D" w:rsidRPr="00EC16F3" w:rsidRDefault="00041D1D" w:rsidP="00041D1D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6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факультета естествознания БГПУ</w:t>
      </w:r>
    </w:p>
    <w:p w:rsidR="00041D1D" w:rsidRPr="00EC16F3" w:rsidRDefault="00041D1D" w:rsidP="00041D1D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6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41D1D" w:rsidRPr="00EC16F3" w:rsidRDefault="00041D1D" w:rsidP="00041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6F3">
        <w:rPr>
          <w:rFonts w:ascii="Times New Roman" w:hAnsi="Times New Roman" w:cs="Times New Roman"/>
          <w:sz w:val="28"/>
          <w:szCs w:val="28"/>
        </w:rPr>
        <w:t>Количество студентов с «очень низким» уровнем физической подготовленности уменьшилось за учебный год с 17% до 8%, а с «низким» уровнем  с 36% до 31%.  Больше стало студентов со «средним» и «высоким» уровнем подготовленности во втором семестре (39 и 21% соответственно).  «Очень высокий» уровень физической подготовленности имели 1 % юношей.</w:t>
      </w:r>
    </w:p>
    <w:p w:rsidR="00041D1D" w:rsidRPr="00EC16F3" w:rsidRDefault="00041D1D" w:rsidP="00041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6F3">
        <w:rPr>
          <w:rFonts w:ascii="Times New Roman" w:hAnsi="Times New Roman" w:cs="Times New Roman"/>
          <w:sz w:val="28"/>
          <w:szCs w:val="28"/>
        </w:rPr>
        <w:t>Уровень общего физического состояния определялся в зависимости от количества выполненных тестов путём суммирования баллов по разделам: физическое развитие, функциональное состояние и физическая  подготовленность (рис. 3).</w:t>
      </w:r>
    </w:p>
    <w:p w:rsidR="00041D1D" w:rsidRPr="00EC16F3" w:rsidRDefault="00041D1D" w:rsidP="00041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6F3">
        <w:rPr>
          <w:rFonts w:ascii="Times New Roman" w:hAnsi="Times New Roman" w:cs="Times New Roman"/>
          <w:sz w:val="28"/>
          <w:szCs w:val="28"/>
        </w:rPr>
        <w:t>Физическое состояние студентов факультета естествознания к концу 2-го семестра также улучшилось. Количество студентов с «низким» уровнем физического состояния стало на 14% меньше, а со «средним» и «высоким» уровнем к концу учебного года увеличилось соответственно на 12%  и 3%. Таким образом, з</w:t>
      </w:r>
      <w:r w:rsidRPr="00EC16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учебный  год в уровне физического </w:t>
      </w:r>
      <w:proofErr w:type="gramStart"/>
      <w:r w:rsidRPr="00EC16F3">
        <w:rPr>
          <w:rFonts w:ascii="Times New Roman" w:hAnsi="Times New Roman" w:cs="Times New Roman"/>
          <w:bCs/>
          <w:color w:val="000000"/>
          <w:sz w:val="28"/>
          <w:szCs w:val="28"/>
        </w:rPr>
        <w:t>состояния студентов первого курса факультета естествознания</w:t>
      </w:r>
      <w:proofErr w:type="gramEnd"/>
      <w:r w:rsidRPr="00EC16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произошли положительные изменения. </w:t>
      </w:r>
    </w:p>
    <w:tbl>
      <w:tblPr>
        <w:tblW w:w="9621" w:type="dxa"/>
        <w:jc w:val="center"/>
        <w:tblInd w:w="93" w:type="dxa"/>
        <w:tblLook w:val="04A0"/>
      </w:tblPr>
      <w:tblGrid>
        <w:gridCol w:w="9621"/>
      </w:tblGrid>
      <w:tr w:rsidR="00041D1D" w:rsidRPr="00EC16F3" w:rsidTr="001417DE">
        <w:trPr>
          <w:trHeight w:val="375"/>
          <w:jc w:val="center"/>
        </w:trPr>
        <w:tc>
          <w:tcPr>
            <w:tcW w:w="9621" w:type="dxa"/>
            <w:noWrap/>
            <w:vAlign w:val="bottom"/>
          </w:tcPr>
          <w:p w:rsidR="00041D1D" w:rsidRPr="00EC16F3" w:rsidRDefault="00041D1D" w:rsidP="001417DE">
            <w:pPr>
              <w:spacing w:line="240" w:lineRule="auto"/>
              <w:ind w:firstLine="709"/>
              <w:jc w:val="center"/>
            </w:pPr>
          </w:p>
        </w:tc>
      </w:tr>
    </w:tbl>
    <w:p w:rsidR="00041D1D" w:rsidRPr="00EC16F3" w:rsidRDefault="00041D1D" w:rsidP="00041D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F3">
        <w:rPr>
          <w:noProof/>
        </w:rPr>
        <w:lastRenderedPageBreak/>
        <w:drawing>
          <wp:inline distT="0" distB="0" distL="0" distR="0">
            <wp:extent cx="5810250" cy="405765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1D1D" w:rsidRPr="00EC16F3" w:rsidRDefault="00041D1D" w:rsidP="00041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D1D" w:rsidRPr="00EC16F3" w:rsidRDefault="00041D1D" w:rsidP="00041D1D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6F3">
        <w:rPr>
          <w:rFonts w:ascii="Times New Roman" w:hAnsi="Times New Roman" w:cs="Times New Roman"/>
          <w:sz w:val="28"/>
          <w:szCs w:val="28"/>
        </w:rPr>
        <w:t xml:space="preserve"> </w:t>
      </w:r>
      <w:r w:rsidRPr="00EC16F3">
        <w:rPr>
          <w:rFonts w:ascii="Times New Roman" w:hAnsi="Times New Roman" w:cs="Times New Roman"/>
          <w:bCs/>
          <w:color w:val="000000"/>
          <w:sz w:val="28"/>
          <w:szCs w:val="28"/>
        </w:rPr>
        <w:t>Рис. 3.</w:t>
      </w:r>
      <w:r w:rsidRPr="00EC16F3">
        <w:rPr>
          <w:rFonts w:ascii="Times New Roman" w:hAnsi="Times New Roman" w:cs="Times New Roman"/>
          <w:sz w:val="28"/>
          <w:szCs w:val="28"/>
        </w:rPr>
        <w:t xml:space="preserve"> </w:t>
      </w:r>
      <w:r w:rsidRPr="00EC16F3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Уровни ф</w:t>
      </w:r>
      <w:r w:rsidRPr="00EC16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изического состояния студентов </w:t>
      </w:r>
      <w:r w:rsidRPr="00EC16F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EC16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курса</w:t>
      </w:r>
    </w:p>
    <w:p w:rsidR="00041D1D" w:rsidRPr="00EC16F3" w:rsidRDefault="00041D1D" w:rsidP="00041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6F3">
        <w:rPr>
          <w:rFonts w:ascii="Times New Roman" w:hAnsi="Times New Roman" w:cs="Times New Roman"/>
          <w:bCs/>
          <w:color w:val="000000"/>
          <w:sz w:val="28"/>
          <w:szCs w:val="28"/>
        </w:rPr>
        <w:t>факультета естествознания БГПУ</w:t>
      </w:r>
      <w:r w:rsidRPr="00EC16F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1D1D" w:rsidRPr="00EC16F3" w:rsidRDefault="00041D1D" w:rsidP="00041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D1D" w:rsidRPr="00EC16F3" w:rsidRDefault="00041D1D" w:rsidP="00041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6F3">
        <w:rPr>
          <w:rFonts w:ascii="Times New Roman" w:hAnsi="Times New Roman" w:cs="Times New Roman"/>
          <w:b/>
          <w:sz w:val="28"/>
          <w:szCs w:val="28"/>
        </w:rPr>
        <w:t>Выводы</w:t>
      </w:r>
      <w:r w:rsidRPr="00EC16F3">
        <w:rPr>
          <w:rFonts w:ascii="Times New Roman" w:hAnsi="Times New Roman" w:cs="Times New Roman"/>
          <w:sz w:val="28"/>
          <w:szCs w:val="28"/>
        </w:rPr>
        <w:t xml:space="preserve">. 1.Анализ результатов исследования позволяет сделать заключение, что студенты-первокурсники факультета естествознания в основном имеют «высокий» и «средний» уровни физического развития и функционального состояния. Физическая подготовленность юношей, в большинстве своём находится на «высоком», «среднем» и «низком» уровнях.  Физическое состояние, преобладающего большинства студентов соответствует «среднему» уровню. </w:t>
      </w:r>
    </w:p>
    <w:p w:rsidR="00041D1D" w:rsidRPr="00EC16F3" w:rsidRDefault="00041D1D" w:rsidP="00041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6F3">
        <w:rPr>
          <w:rFonts w:ascii="Times New Roman" w:hAnsi="Times New Roman" w:cs="Times New Roman"/>
          <w:sz w:val="28"/>
          <w:szCs w:val="28"/>
        </w:rPr>
        <w:t xml:space="preserve">2.Физическое состояние студентов за учебный год улучшилось. </w:t>
      </w:r>
      <w:proofErr w:type="gramStart"/>
      <w:r w:rsidRPr="00EC16F3">
        <w:rPr>
          <w:rFonts w:ascii="Times New Roman" w:hAnsi="Times New Roman" w:cs="Times New Roman"/>
          <w:sz w:val="28"/>
          <w:szCs w:val="28"/>
        </w:rPr>
        <w:t>Количество студентов с «высоким» и «средним» уровнем физического состояния увеличилось на 3% и 12% соответственно, а с «низким» уровнем снизилось на 14%.  Это свидетельствует о том, что в данный период времени преподаватели кафедры физического воспитания и спорта осуществляли должный контроль за физическим состоянием студентов и своевременно корректировали средства и методы педагогического воздействия (информационная обратная связь через журнал учёта учебной работы</w:t>
      </w:r>
      <w:proofErr w:type="gramEnd"/>
      <w:r w:rsidRPr="00EC16F3">
        <w:rPr>
          <w:rFonts w:ascii="Times New Roman" w:hAnsi="Times New Roman" w:cs="Times New Roman"/>
          <w:sz w:val="28"/>
          <w:szCs w:val="28"/>
        </w:rPr>
        <w:t xml:space="preserve"> по физическому воспитанию).</w:t>
      </w:r>
    </w:p>
    <w:p w:rsidR="004541CA" w:rsidRPr="00041D1D" w:rsidRDefault="004541CA" w:rsidP="00041D1D">
      <w:pPr>
        <w:rPr>
          <w:szCs w:val="28"/>
        </w:rPr>
      </w:pPr>
    </w:p>
    <w:sectPr w:rsidR="004541CA" w:rsidRPr="00041D1D" w:rsidSect="00CE25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E7F" w:rsidRDefault="00A56E7F" w:rsidP="00A03BCD">
      <w:pPr>
        <w:spacing w:line="240" w:lineRule="auto"/>
      </w:pPr>
      <w:r>
        <w:separator/>
      </w:r>
    </w:p>
  </w:endnote>
  <w:endnote w:type="continuationSeparator" w:id="0">
    <w:p w:rsidR="00A56E7F" w:rsidRDefault="00A56E7F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E7F" w:rsidRDefault="00A56E7F" w:rsidP="00A03BCD">
      <w:pPr>
        <w:spacing w:line="240" w:lineRule="auto"/>
      </w:pPr>
      <w:r>
        <w:separator/>
      </w:r>
    </w:p>
  </w:footnote>
  <w:footnote w:type="continuationSeparator" w:id="0">
    <w:p w:rsidR="00A56E7F" w:rsidRDefault="00A56E7F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6A17C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6A17C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6A17C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2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1"/>
  </w:num>
  <w:num w:numId="15">
    <w:abstractNumId w:val="13"/>
  </w:num>
  <w:num w:numId="16">
    <w:abstractNumId w:val="41"/>
  </w:num>
  <w:num w:numId="17">
    <w:abstractNumId w:val="44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43"/>
  </w:num>
  <w:num w:numId="22">
    <w:abstractNumId w:val="23"/>
  </w:num>
  <w:num w:numId="23">
    <w:abstractNumId w:val="4"/>
  </w:num>
  <w:num w:numId="24">
    <w:abstractNumId w:val="30"/>
  </w:num>
  <w:num w:numId="25">
    <w:abstractNumId w:val="17"/>
  </w:num>
  <w:num w:numId="26">
    <w:abstractNumId w:val="1"/>
  </w:num>
  <w:num w:numId="27">
    <w:abstractNumId w:val="8"/>
  </w:num>
  <w:num w:numId="28">
    <w:abstractNumId w:val="16"/>
  </w:num>
  <w:num w:numId="29">
    <w:abstractNumId w:val="29"/>
  </w:num>
  <w:num w:numId="30">
    <w:abstractNumId w:val="19"/>
  </w:num>
  <w:num w:numId="31">
    <w:abstractNumId w:val="39"/>
  </w:num>
  <w:num w:numId="32">
    <w:abstractNumId w:val="12"/>
  </w:num>
  <w:num w:numId="3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8"/>
  </w:num>
  <w:num w:numId="37">
    <w:abstractNumId w:val="33"/>
  </w:num>
  <w:num w:numId="38">
    <w:abstractNumId w:val="42"/>
  </w:num>
  <w:num w:numId="39">
    <w:abstractNumId w:val="40"/>
    <w:lvlOverride w:ilvl="0">
      <w:startOverride w:val="1"/>
    </w:lvlOverride>
  </w:num>
  <w:num w:numId="40">
    <w:abstractNumId w:val="7"/>
  </w:num>
  <w:num w:numId="41">
    <w:abstractNumId w:val="36"/>
  </w:num>
  <w:num w:numId="42">
    <w:abstractNumId w:val="20"/>
  </w:num>
  <w:num w:numId="43">
    <w:abstractNumId w:val="22"/>
  </w:num>
  <w:num w:numId="44">
    <w:abstractNumId w:val="24"/>
  </w:num>
  <w:num w:numId="45">
    <w:abstractNumId w:val="15"/>
  </w:num>
  <w:num w:numId="46">
    <w:abstractNumId w:val="26"/>
  </w:num>
  <w:num w:numId="47">
    <w:abstractNumId w:val="0"/>
  </w:num>
  <w:num w:numId="48">
    <w:abstractNumId w:val="25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0B"/>
    <w:rsid w:val="000140D7"/>
    <w:rsid w:val="00033473"/>
    <w:rsid w:val="00041D1D"/>
    <w:rsid w:val="000535CC"/>
    <w:rsid w:val="000C7859"/>
    <w:rsid w:val="000E6DB2"/>
    <w:rsid w:val="000E7602"/>
    <w:rsid w:val="0010216C"/>
    <w:rsid w:val="00166F7A"/>
    <w:rsid w:val="00176F5F"/>
    <w:rsid w:val="00196AAC"/>
    <w:rsid w:val="001B07E6"/>
    <w:rsid w:val="001E3E4A"/>
    <w:rsid w:val="00204605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083E"/>
    <w:rsid w:val="004F4DCC"/>
    <w:rsid w:val="005021BF"/>
    <w:rsid w:val="0054367F"/>
    <w:rsid w:val="00562D01"/>
    <w:rsid w:val="00573B78"/>
    <w:rsid w:val="00597BCB"/>
    <w:rsid w:val="005C46F1"/>
    <w:rsid w:val="005C7EE1"/>
    <w:rsid w:val="005D55F6"/>
    <w:rsid w:val="005F7630"/>
    <w:rsid w:val="00607F5B"/>
    <w:rsid w:val="0063525A"/>
    <w:rsid w:val="00640035"/>
    <w:rsid w:val="006472CF"/>
    <w:rsid w:val="00661969"/>
    <w:rsid w:val="00662A48"/>
    <w:rsid w:val="00676015"/>
    <w:rsid w:val="006849B4"/>
    <w:rsid w:val="006937D4"/>
    <w:rsid w:val="006A17CF"/>
    <w:rsid w:val="006B318F"/>
    <w:rsid w:val="006C382A"/>
    <w:rsid w:val="006C644F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02847"/>
    <w:rsid w:val="00824E35"/>
    <w:rsid w:val="00843FB6"/>
    <w:rsid w:val="00887407"/>
    <w:rsid w:val="008877B6"/>
    <w:rsid w:val="0089711C"/>
    <w:rsid w:val="008A3802"/>
    <w:rsid w:val="008B6CFF"/>
    <w:rsid w:val="008C2574"/>
    <w:rsid w:val="008C782A"/>
    <w:rsid w:val="008D19D3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56E7F"/>
    <w:rsid w:val="00A75F73"/>
    <w:rsid w:val="00A97952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66D65"/>
    <w:rsid w:val="00D83523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90277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  <w:style w:type="table" w:customStyle="1" w:styleId="11">
    <w:name w:val="Сетка таблицы1"/>
    <w:basedOn w:val="a2"/>
    <w:next w:val="aa"/>
    <w:uiPriority w:val="59"/>
    <w:rsid w:val="00D66D65"/>
    <w:pPr>
      <w:jc w:val="left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2"/>
    <w:uiPriority w:val="59"/>
    <w:rsid w:val="00D66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5"/>
    <w:uiPriority w:val="59"/>
    <w:rsid w:val="00D83523"/>
    <w:pPr>
      <w:jc w:val="left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f5"/>
    <w:uiPriority w:val="59"/>
    <w:rsid w:val="008D19D3"/>
    <w:pPr>
      <w:jc w:val="left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0"/>
      <c:rotY val="10"/>
      <c:perspective val="2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семестр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cat>
            <c:strRef>
              <c:f>Лист1!$A$2:$A$6</c:f>
              <c:strCache>
                <c:ptCount val="5"/>
                <c:pt idx="0">
                  <c:v>О.В.</c:v>
                </c:pt>
                <c:pt idx="1">
                  <c:v>В.</c:v>
                </c:pt>
                <c:pt idx="2">
                  <c:v>С.</c:v>
                </c:pt>
                <c:pt idx="3">
                  <c:v>Н.</c:v>
                </c:pt>
                <c:pt idx="4">
                  <c:v>О.Н.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41</c:v>
                </c:pt>
                <c:pt idx="2">
                  <c:v>47</c:v>
                </c:pt>
                <c:pt idx="3">
                  <c:v>9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семестр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cat>
            <c:strRef>
              <c:f>Лист1!$A$2:$A$6</c:f>
              <c:strCache>
                <c:ptCount val="5"/>
                <c:pt idx="0">
                  <c:v>О.В.</c:v>
                </c:pt>
                <c:pt idx="1">
                  <c:v>В.</c:v>
                </c:pt>
                <c:pt idx="2">
                  <c:v>С.</c:v>
                </c:pt>
                <c:pt idx="3">
                  <c:v>Н.</c:v>
                </c:pt>
                <c:pt idx="4">
                  <c:v>О.Н.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53</c:v>
                </c:pt>
                <c:pt idx="2">
                  <c:v>37</c:v>
                </c:pt>
                <c:pt idx="3">
                  <c:v>9</c:v>
                </c:pt>
                <c:pt idx="4">
                  <c:v>0</c:v>
                </c:pt>
              </c:numCache>
            </c:numRef>
          </c:val>
        </c:ser>
        <c:shape val="box"/>
        <c:axId val="118312320"/>
        <c:axId val="118388224"/>
        <c:axId val="0"/>
      </c:bar3DChart>
      <c:catAx>
        <c:axId val="1183123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 b="0">
                    <a:latin typeface="Times New Roman" pitchFamily="18" charset="0"/>
                    <a:cs typeface="Times New Roman" pitchFamily="18" charset="0"/>
                  </a:rPr>
                  <a:t>Уровни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388224"/>
        <c:crosses val="autoZero"/>
        <c:auto val="1"/>
        <c:lblAlgn val="ctr"/>
        <c:lblOffset val="100"/>
      </c:catAx>
      <c:valAx>
        <c:axId val="118388224"/>
        <c:scaling>
          <c:orientation val="minMax"/>
          <c:max val="60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 b="0"/>
                </a:pPr>
                <a:r>
                  <a:rPr lang="ru-RU" sz="1400" b="0">
                    <a:latin typeface="Times New Roman" pitchFamily="18" charset="0"/>
                    <a:cs typeface="Times New Roman" pitchFamily="18" charset="0"/>
                  </a:rPr>
                  <a:t>Проценты</a:t>
                </a:r>
              </a:p>
            </c:rich>
          </c:tx>
          <c:layout>
            <c:manualLayout>
              <c:xMode val="edge"/>
              <c:yMode val="edge"/>
              <c:x val="2.3062284678529995E-2"/>
              <c:y val="0.3803072705083839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312320"/>
        <c:crosses val="autoZero"/>
        <c:crossBetween val="between"/>
        <c:majorUnit val="10"/>
        <c:minorUnit val="1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418567703912798"/>
          <c:y val="0.43825029463507958"/>
          <c:w val="0.23254732461924846"/>
          <c:h val="0.12349918299258157"/>
        </c:manualLayout>
      </c:layout>
      <c:spPr>
        <a:noFill/>
      </c:spPr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 w="15875" cmpd="sng">
      <a:solidFill>
        <a:schemeClr val="tx1"/>
      </a:solidFill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0"/>
      <c:rotY val="10"/>
      <c:perspective val="2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семестр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cat>
            <c:strRef>
              <c:f>Лист1!$A$2:$A$6</c:f>
              <c:strCache>
                <c:ptCount val="5"/>
                <c:pt idx="0">
                  <c:v>О.В.</c:v>
                </c:pt>
                <c:pt idx="1">
                  <c:v>В.</c:v>
                </c:pt>
                <c:pt idx="2">
                  <c:v>С.</c:v>
                </c:pt>
                <c:pt idx="3">
                  <c:v>Н.</c:v>
                </c:pt>
                <c:pt idx="4">
                  <c:v>О.Н.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14</c:v>
                </c:pt>
                <c:pt idx="2">
                  <c:v>32</c:v>
                </c:pt>
                <c:pt idx="3">
                  <c:v>36</c:v>
                </c:pt>
                <c:pt idx="4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семестр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cat>
            <c:strRef>
              <c:f>Лист1!$A$2:$A$6</c:f>
              <c:strCache>
                <c:ptCount val="5"/>
                <c:pt idx="0">
                  <c:v>О.В.</c:v>
                </c:pt>
                <c:pt idx="1">
                  <c:v>В.</c:v>
                </c:pt>
                <c:pt idx="2">
                  <c:v>С.</c:v>
                </c:pt>
                <c:pt idx="3">
                  <c:v>Н.</c:v>
                </c:pt>
                <c:pt idx="4">
                  <c:v>О.Н.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21</c:v>
                </c:pt>
                <c:pt idx="2">
                  <c:v>39</c:v>
                </c:pt>
                <c:pt idx="3">
                  <c:v>31</c:v>
                </c:pt>
                <c:pt idx="4">
                  <c:v>8</c:v>
                </c:pt>
              </c:numCache>
            </c:numRef>
          </c:val>
        </c:ser>
        <c:shape val="box"/>
        <c:axId val="122846592"/>
        <c:axId val="130262144"/>
        <c:axId val="0"/>
      </c:bar3DChart>
      <c:catAx>
        <c:axId val="1228465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ru-RU" sz="1400" b="0">
                    <a:latin typeface="Times New Roman" pitchFamily="18" charset="0"/>
                    <a:cs typeface="Times New Roman" pitchFamily="18" charset="0"/>
                  </a:rPr>
                  <a:t>Уровни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0262144"/>
        <c:crosses val="autoZero"/>
        <c:auto val="1"/>
        <c:lblAlgn val="ctr"/>
        <c:lblOffset val="100"/>
      </c:catAx>
      <c:valAx>
        <c:axId val="130262144"/>
        <c:scaling>
          <c:orientation val="minMax"/>
          <c:max val="40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 b="0"/>
                </a:pPr>
                <a:r>
                  <a:rPr lang="ru-RU" sz="1400" b="0">
                    <a:latin typeface="Times New Roman" pitchFamily="18" charset="0"/>
                    <a:cs typeface="Times New Roman" pitchFamily="18" charset="0"/>
                  </a:rPr>
                  <a:t>Проценты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4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2846592"/>
        <c:crosses val="autoZero"/>
        <c:crossBetween val="between"/>
        <c:majorUnit val="10"/>
        <c:minorUnit val="1"/>
      </c:valAx>
    </c:plotArea>
    <c:legend>
      <c:legendPos val="r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 w="15875">
      <a:solidFill>
        <a:schemeClr val="tx1"/>
      </a:solidFill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0"/>
      <c:rotY val="10"/>
      <c:perspective val="2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семестр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cat>
            <c:strRef>
              <c:f>Лист1!$A$2:$A$6</c:f>
              <c:strCache>
                <c:ptCount val="5"/>
                <c:pt idx="0">
                  <c:v>О.В.</c:v>
                </c:pt>
                <c:pt idx="1">
                  <c:v>В.</c:v>
                </c:pt>
                <c:pt idx="2">
                  <c:v>С.</c:v>
                </c:pt>
                <c:pt idx="3">
                  <c:v>Н.</c:v>
                </c:pt>
                <c:pt idx="4">
                  <c:v>О.Н.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19</c:v>
                </c:pt>
                <c:pt idx="2">
                  <c:v>52</c:v>
                </c:pt>
                <c:pt idx="3">
                  <c:v>27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семестр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cat>
            <c:strRef>
              <c:f>Лист1!$A$2:$A$6</c:f>
              <c:strCache>
                <c:ptCount val="5"/>
                <c:pt idx="0">
                  <c:v>О.В.</c:v>
                </c:pt>
                <c:pt idx="1">
                  <c:v>В.</c:v>
                </c:pt>
                <c:pt idx="2">
                  <c:v>С.</c:v>
                </c:pt>
                <c:pt idx="3">
                  <c:v>Н.</c:v>
                </c:pt>
                <c:pt idx="4">
                  <c:v>О.Н.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22</c:v>
                </c:pt>
                <c:pt idx="2">
                  <c:v>64</c:v>
                </c:pt>
                <c:pt idx="3">
                  <c:v>13</c:v>
                </c:pt>
                <c:pt idx="4">
                  <c:v>1</c:v>
                </c:pt>
              </c:numCache>
            </c:numRef>
          </c:val>
        </c:ser>
        <c:shape val="box"/>
        <c:axId val="151535616"/>
        <c:axId val="151544576"/>
        <c:axId val="0"/>
      </c:bar3DChart>
      <c:catAx>
        <c:axId val="1515356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ru-RU" sz="1400" b="0">
                    <a:latin typeface="Times New Roman" pitchFamily="18" charset="0"/>
                    <a:cs typeface="Times New Roman" pitchFamily="18" charset="0"/>
                  </a:rPr>
                  <a:t>Уровни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544576"/>
        <c:crosses val="autoZero"/>
        <c:auto val="1"/>
        <c:lblAlgn val="ctr"/>
        <c:lblOffset val="100"/>
      </c:catAx>
      <c:valAx>
        <c:axId val="151544576"/>
        <c:scaling>
          <c:orientation val="minMax"/>
          <c:max val="70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 b="0"/>
                </a:pPr>
                <a:r>
                  <a:rPr lang="ru-RU" sz="1400" b="0">
                    <a:latin typeface="Times New Roman" pitchFamily="18" charset="0"/>
                    <a:cs typeface="Times New Roman" pitchFamily="18" charset="0"/>
                  </a:rPr>
                  <a:t>Проценты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535616"/>
        <c:crosses val="autoZero"/>
        <c:crossBetween val="between"/>
        <c:majorUnit val="10"/>
        <c:minorUnit val="1"/>
      </c:valAx>
    </c:plotArea>
    <c:legend>
      <c:legendPos val="r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 w="15875" cmpd="sng">
      <a:solidFill>
        <a:schemeClr val="tx1"/>
      </a:solidFill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FB174A-D796-4A79-8064-9A446035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2015-12-05T20:37:00Z</dcterms:created>
  <dcterms:modified xsi:type="dcterms:W3CDTF">2015-12-05T20:37:00Z</dcterms:modified>
</cp:coreProperties>
</file>