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B" w:rsidRPr="00850B7B" w:rsidRDefault="00850B7B" w:rsidP="00850B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B7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ЗДОРОВЬЕ И </w:t>
      </w:r>
      <w:r w:rsidRPr="00850B7B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50B7B" w:rsidRPr="00850B7B" w:rsidRDefault="00850B7B" w:rsidP="00850B7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50B7B">
        <w:rPr>
          <w:rFonts w:ascii="Times New Roman" w:hAnsi="Times New Roman" w:cs="Times New Roman"/>
          <w:b/>
          <w:spacing w:val="-4"/>
          <w:sz w:val="28"/>
          <w:szCs w:val="28"/>
        </w:rPr>
        <w:t>СТУДЕНЧЕСКОЙ МОЛОДЕЖИ</w:t>
      </w:r>
    </w:p>
    <w:p w:rsidR="00850B7B" w:rsidRDefault="00850B7B" w:rsidP="00850B7B">
      <w:pPr>
        <w:spacing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50B7B" w:rsidRPr="00FB22B8" w:rsidRDefault="00850B7B" w:rsidP="00850B7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Авхимович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Алексеевич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Pr="00FB22B8">
        <w:rPr>
          <w:rFonts w:ascii="Times New Roman" w:hAnsi="Times New Roman" w:cs="Times New Roman"/>
          <w:sz w:val="28"/>
          <w:szCs w:val="28"/>
        </w:rPr>
        <w:t>Салычиц</w:t>
      </w:r>
      <w:proofErr w:type="spellEnd"/>
      <w:r w:rsidRPr="00FB22B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FB22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едорович</w:t>
      </w:r>
      <w:r w:rsidRPr="00FB2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B8">
        <w:rPr>
          <w:rFonts w:ascii="Times New Roman" w:hAnsi="Times New Roman" w:cs="Times New Roman"/>
          <w:sz w:val="28"/>
          <w:szCs w:val="28"/>
        </w:rPr>
        <w:t>Григоревич</w:t>
      </w:r>
      <w:proofErr w:type="spellEnd"/>
      <w:r w:rsidRPr="00FB22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ван </w:t>
      </w:r>
      <w:r w:rsidRPr="00FB22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FB22B8">
        <w:rPr>
          <w:rFonts w:ascii="Times New Roman" w:hAnsi="Times New Roman" w:cs="Times New Roman"/>
          <w:sz w:val="28"/>
          <w:szCs w:val="28"/>
        </w:rPr>
        <w:t>,</w:t>
      </w:r>
      <w:r w:rsidRPr="00EC10A4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доцент,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2B8">
        <w:rPr>
          <w:rFonts w:ascii="Times New Roman" w:hAnsi="Times New Roman" w:cs="Times New Roman"/>
          <w:sz w:val="28"/>
          <w:szCs w:val="28"/>
        </w:rPr>
        <w:t>Белорусский государственный педагогический университет имени Максима Танка, Республика Беларусь</w:t>
      </w:r>
    </w:p>
    <w:p w:rsidR="00850B7B" w:rsidRDefault="00850B7B" w:rsidP="00850B7B">
      <w:pPr>
        <w:pStyle w:val="ac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– это важное слагаемое человеческого фактора.</w:t>
      </w:r>
    </w:p>
    <w:p w:rsidR="00850B7B" w:rsidRPr="00451F00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 – это комплексное и, вместе с тем,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 </w:t>
      </w:r>
      <w:r w:rsidRPr="00451F00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1F00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Охрана собственного здоровья – это непосредственная обязанность каждого, человек не вправе перекладывать ее на окружающих. Человек – сам творец своего здоровья, за которое надо бороться.  По определению Всемирной организации здравоохранения «здоровье - состояние полного физического, духовного (психического) и социального благополучия, а не только отсутствие болезней и физических дефектов».</w:t>
      </w: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здоровье –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и духовно развитый человек счастлив – он отлично себя чувствует, получает удовлетворение от своей работы, стремиться к самосовершенствованию, достигая неувядающей молодости духа и внутренней красоты.</w:t>
      </w:r>
    </w:p>
    <w:p w:rsidR="00850B7B" w:rsidRDefault="00850B7B" w:rsidP="00850B7B">
      <w:pPr>
        <w:spacing w:line="240" w:lineRule="auto"/>
        <w:ind w:firstLine="567"/>
        <w:jc w:val="both"/>
        <w:rPr>
          <w:sz w:val="28"/>
          <w:szCs w:val="28"/>
        </w:rPr>
      </w:pPr>
      <w:r w:rsidRPr="00ED39EF">
        <w:rPr>
          <w:rFonts w:ascii="Times New Roman" w:hAnsi="Times New Roman" w:cs="Times New Roman"/>
          <w:sz w:val="28"/>
          <w:szCs w:val="28"/>
        </w:rPr>
        <w:t>Состояние здоровья студенческой молодежи зависит от множества факторов и условий, которые находятся в сложном взаимодействии друг с другом.  Однако решающее значение среди них принадлежит физкультурно-оздоровительной деятельности, которая позволяет поддерживать состояние здоровья и трудоспособность на высоком уровне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39EF">
        <w:rPr>
          <w:rFonts w:ascii="Times New Roman" w:hAnsi="Times New Roman" w:cs="Times New Roman"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развитие, которое тесно связано со здоровьем, - это процесс изменения и становления естественных морфологических и </w:t>
      </w:r>
      <w:r w:rsidRPr="0016221E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функциональных свойств организма человека в течение его жизни (рост, масса тела, окружность грудной клетки, жизненная ёмкость лёгких и др.)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Поэтому наибольшее значение в обычной жизни, в профессиональной деятельности имеют такие виды спорта, которые развивают главным образом аэробные возможности организма, обеспечивающие длительную продуктивную работу сравнительно невысокой мощности не только в спортивной деятельности, но и в течение достаточно длительного по продолжительности рабочего времени на 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B7B" w:rsidRDefault="00850B7B" w:rsidP="00850B7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в формировании здоровья студенческой молодежи принадлежит дисциплине «Физическая культура», которая, по сути, и содержанию, является единственным лидером в обобщении и структурировании знаний в области индивидуального здоровья и здорового образа жизни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процесса приобщения студентов к проблеме сохранения личного здоровья физическое воспитание в вузе призвано, с одной стороны, сформировать у молодежи специальные знания, умения, навыки по сохранению и укреплению здоровья, конструированию индивидуального образа жизни, с другой – должно являться для студентов «экспериментальной площадкой» для осуществления самостоятельной работы над собой, своим телом, психикой, эмоциями, над развитием своих коммуникативных способностей, воспитанием гуманного 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миру, окружающим людям, к самому себе.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 вопрос об изменении состояния физического здоровья во время учёбы в университете были получены разноплановые ответы.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Состояние здоровья у 36,8% студентов во время учёбы в нашем университете 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зменилось в лучшую сторону. У 32,1%  юношей и девушек оно осталось на прежнем уровне. Здесь видимо следует отметить плодотворную работу преподавателей кафедры физической культуры образовательной и методической направленности, что на наш взгляд,  способствует осознанной, основанной на знаниях и убеждениях, мотивации и потребности постоянно заботиться о своём здоровье. 24,5% респондентов затрудняются ответить на этот вопрос.  Изменилось оно в худшую сторону у 5,9%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4A45">
        <w:rPr>
          <w:rFonts w:ascii="Times New Roman" w:hAnsi="Times New Roman" w:cs="Times New Roman"/>
          <w:sz w:val="28"/>
          <w:szCs w:val="28"/>
        </w:rPr>
        <w:t>Были также получены ответы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pacing w:val="-4"/>
          <w:sz w:val="28"/>
          <w:szCs w:val="28"/>
        </w:rPr>
        <w:t>удовлетворенности предметом «Физическая культура» по следующим параметрам.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Отношениями с преподавателями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79,6 % девушек и юношей университета и 14,7% - скорее</w:t>
      </w:r>
      <w:r w:rsidRPr="00E40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удовлетворены. Уровень преподавания также удовлетворяет 68,0% студентов и 25,0% - скорее удовлетворяет. Что касается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одержания занятий (Рис.1.), то 47,0% респондентов удовлетворены ими, 39,7% - 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4"/>
          <w:sz w:val="28"/>
          <w:szCs w:val="28"/>
        </w:rPr>
        <w:lastRenderedPageBreak/>
        <w:drawing>
          <wp:inline distT="0" distB="0" distL="0" distR="0">
            <wp:extent cx="5176299" cy="2934032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Рис.1. Содержание занятий</w:t>
      </w:r>
    </w:p>
    <w:p w:rsidR="00850B7B" w:rsidRDefault="00850B7B" w:rsidP="00850B7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скорее удовлетворены, 6,4% – скорее не</w:t>
      </w:r>
      <w:r w:rsidRPr="00E40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удовлетворены, 3,2% - не удовлетворены. 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Величина нагрузок</w:t>
      </w:r>
      <w:r w:rsidRPr="002D28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(Рис.2) удовлетворяет 46,1% студенческой молодёжи, 36,7% - скорее удовлетворяет, 10,3% – скорее не</w:t>
      </w:r>
      <w:r w:rsidRPr="00E40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удовлетворяет, 3,7% - не удовлетворяет. 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4"/>
          <w:sz w:val="28"/>
          <w:szCs w:val="28"/>
        </w:rPr>
        <w:drawing>
          <wp:inline distT="0" distB="0" distL="0" distR="0">
            <wp:extent cx="5375081" cy="3069203"/>
            <wp:effectExtent l="0" t="0" r="16510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Рис.2. Величина нагрузок.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Материальной базой (Рис.3)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41% опрошенных, 38,6% - скорее удовлетворены, 9,5% - скорее не</w:t>
      </w:r>
      <w:r w:rsidRPr="00E40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удовлетворены, 3,7% - не удовлетворены. 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4"/>
          <w:sz w:val="28"/>
          <w:szCs w:val="28"/>
        </w:rPr>
        <w:lastRenderedPageBreak/>
        <w:drawing>
          <wp:inline distT="0" distB="0" distL="0" distR="0">
            <wp:extent cx="5375081" cy="3061252"/>
            <wp:effectExtent l="0" t="0" r="1651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Рис.3. Материальная база.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Расписанием занятий</w:t>
      </w:r>
      <w:r w:rsidRPr="002D286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(Рис.4)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31,9% студентов, 14,7% – скорее удовлетворены, 22,6% - скорее не удовлетворены, 26,4% – не удовлетворены.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4"/>
          <w:sz w:val="28"/>
          <w:szCs w:val="28"/>
        </w:rPr>
        <w:drawing>
          <wp:inline distT="0" distB="0" distL="0" distR="0">
            <wp:extent cx="5311472" cy="2934031"/>
            <wp:effectExtent l="0" t="0" r="2286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Рис.4. Расписание занятий.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Из ответов можно заключить, что «удовлетворены» и «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скорее</w:t>
      </w:r>
      <w:r w:rsidRPr="00E40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предметом «Физическая культура» студенты по таким параметрам: отношения с преподавателем 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уровень преподавания. Роль преподавателя была и остаётся ведущей в процессе обучения и воспитания, привития любви к предмету. Содержанием занятий, величиной нагрузок, материальной базой «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>» от 41 до 47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опрошенных и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скорее</w:t>
      </w:r>
      <w:r w:rsidRPr="00E406D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удовлетворены» от 36,7% до 39,7%.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Разброс мнений от «удовлетворен» до  «не удовлетворен» выявленный по расписанию учебных занятий по физическому воспитанию объясняется тем, что оно не всегда удобное для студентов.</w:t>
      </w:r>
    </w:p>
    <w:p w:rsidR="00850B7B" w:rsidRDefault="00850B7B" w:rsidP="00850B7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Таким образом, на основе результатов проведенного исследования можно сделать заключение, что студенты БГПУ имени Максима Танка правильно понимают роль занятий физической культуры в их жизни.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Состояние здоровья во время учёбы в вузе у большинства студентов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субъективных ощущениях улучшилось. Удовлетворены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предметом «Физическая культура» девушки и юноши в первую очередь хорошими отношениями с преподавателями, уровнем преподавания.</w:t>
      </w:r>
    </w:p>
    <w:p w:rsidR="00850B7B" w:rsidRPr="0016221E" w:rsidRDefault="00850B7B" w:rsidP="00850B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21E">
        <w:rPr>
          <w:rFonts w:ascii="Times New Roman" w:eastAsia="Times New Roman" w:hAnsi="Times New Roman" w:cs="Times New Roman"/>
          <w:sz w:val="28"/>
          <w:szCs w:val="28"/>
        </w:rPr>
        <w:t>Возможности различных видов спорта в укреплении здоровья, коррекции телосложения и осанки, повышении общей работоспособности, психической устойчивости, наконец, в самоутверждении очень велики. При этом здоровье выступает как ведущий фактор, который определяет не только гармоническое развитие молодого человека, но и успешность освоения профессии, плодотворность его будущей профессиональной деятельности.</w:t>
      </w:r>
    </w:p>
    <w:p w:rsidR="00850B7B" w:rsidRPr="00BA181F" w:rsidRDefault="00850B7B" w:rsidP="00850B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1.Казин, Э.М. Основы индивидуального здоровья человека: Введение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прикладную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заведений /</w:t>
      </w:r>
      <w:r w:rsidRPr="00D84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Э.М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изд. центр ВЛАДОС, 2000, 192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B7B" w:rsidRDefault="00850B7B" w:rsidP="00850B7B">
      <w:pPr>
        <w:spacing w:line="240" w:lineRule="auto"/>
        <w:ind w:firstLine="709"/>
        <w:jc w:val="both"/>
      </w:pPr>
      <w:r w:rsidRPr="00451F0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Козина, Г.Ю.  Физкультурно-оздоровительная деятельность как социальный фактор формирования здоровья современной студенческой молодежи: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канд. социолог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аук: 09.00.09. /</w:t>
      </w:r>
      <w:r w:rsidRPr="00FC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Г.Ю. Козина. – Пенза, 2007. -182 л. </w:t>
      </w:r>
    </w:p>
    <w:p w:rsidR="004541CA" w:rsidRPr="00850B7B" w:rsidRDefault="004541CA" w:rsidP="00850B7B">
      <w:pPr>
        <w:rPr>
          <w:szCs w:val="28"/>
        </w:rPr>
      </w:pPr>
    </w:p>
    <w:sectPr w:rsidR="004541CA" w:rsidRPr="00850B7B" w:rsidSect="00CE25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7D" w:rsidRDefault="008A7B7D" w:rsidP="00A03BCD">
      <w:pPr>
        <w:spacing w:line="240" w:lineRule="auto"/>
      </w:pPr>
      <w:r>
        <w:separator/>
      </w:r>
    </w:p>
  </w:endnote>
  <w:endnote w:type="continuationSeparator" w:id="0">
    <w:p w:rsidR="008A7B7D" w:rsidRDefault="008A7B7D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7D" w:rsidRDefault="008A7B7D" w:rsidP="00A03BCD">
      <w:pPr>
        <w:spacing w:line="240" w:lineRule="auto"/>
      </w:pPr>
      <w:r>
        <w:separator/>
      </w:r>
    </w:p>
  </w:footnote>
  <w:footnote w:type="continuationSeparator" w:id="0">
    <w:p w:rsidR="008A7B7D" w:rsidRDefault="008A7B7D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177FE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177FE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1A59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0B7B"/>
    <w:rsid w:val="00887407"/>
    <w:rsid w:val="008877B6"/>
    <w:rsid w:val="0089711C"/>
    <w:rsid w:val="008A3802"/>
    <w:rsid w:val="008A7B7D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0.22213694370270223"/>
                  <c:y val="1.498846392960242E-2"/>
                </c:manualLayout>
              </c:layout>
              <c:showVal val="1"/>
            </c:dLbl>
            <c:dLbl>
              <c:idx val="1"/>
              <c:layout>
                <c:manualLayout>
                  <c:x val="0.18906771800670599"/>
                  <c:y val="-0.17088553845475637"/>
                </c:manualLayout>
              </c:layout>
              <c:tx>
                <c:rich>
                  <a:bodyPr/>
                  <a:lstStyle/>
                  <a:p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39,7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5.5063462318644736E-2"/>
                  <c:y val="8.4998050464344027E-2"/>
                </c:manualLayout>
              </c:layout>
              <c:showVal val="1"/>
            </c:dLbl>
            <c:dLbl>
              <c:idx val="3"/>
              <c:layout>
                <c:manualLayout>
                  <c:x val="2.7249193439329335E-2"/>
                  <c:y val="9.0597171400993576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39.700000000000003</c:v>
                </c:pt>
                <c:pt idx="2">
                  <c:v>6.4</c:v>
                </c:pt>
                <c:pt idx="3">
                  <c:v>3.2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0.25441701297754482"/>
                  <c:y val="4.8864755217476109E-2"/>
                </c:manualLayout>
              </c:layout>
              <c:showVal val="1"/>
            </c:dLbl>
            <c:dLbl>
              <c:idx val="1"/>
              <c:layout>
                <c:manualLayout>
                  <c:x val="0.19564741907261593"/>
                  <c:y val="-0.20253060269163253"/>
                </c:manualLayout>
              </c:layout>
              <c:showVal val="1"/>
            </c:dLbl>
            <c:dLbl>
              <c:idx val="3"/>
              <c:layout>
                <c:manualLayout>
                  <c:x val="2.6797549655530772E-2"/>
                  <c:y val="8.5820976976759319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46.1</c:v>
                </c:pt>
                <c:pt idx="1">
                  <c:v>36.700000000000003</c:v>
                </c:pt>
                <c:pt idx="2">
                  <c:v>10.3</c:v>
                </c:pt>
                <c:pt idx="3">
                  <c:v>3.7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spPr>
              <a:pattFill prst="dashDnDiag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dotGrid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-0.21863143409157218"/>
                  <c:y val="4.550996684220792E-2"/>
                </c:manualLayout>
              </c:layout>
              <c:showVal val="1"/>
            </c:dLbl>
            <c:dLbl>
              <c:idx val="1"/>
              <c:layout>
                <c:manualLayout>
                  <c:x val="0.23234798775153143"/>
                  <c:y val="-0.21327054003650009"/>
                </c:manualLayout>
              </c:layout>
              <c:showVal val="1"/>
            </c:dLbl>
            <c:dLbl>
              <c:idx val="3"/>
              <c:layout>
                <c:manualLayout>
                  <c:x val="2.7627397615031354E-2"/>
                  <c:y val="7.7914853138519813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38.6</c:v>
                </c:pt>
                <c:pt idx="2">
                  <c:v>9.5</c:v>
                </c:pt>
                <c:pt idx="3">
                  <c:v>3.7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pct5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1"/>
            <c:spPr>
              <a:pattFill prst="dashVert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2"/>
            <c:spPr>
              <a:pattFill prst="dashDnDiag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Pt>
            <c:idx val="3"/>
            <c:spPr>
              <a:pattFill prst="dotGrid">
                <a:fgClr>
                  <a:sysClr val="windowText" lastClr="000000"/>
                </a:fgClr>
                <a:bgClr>
                  <a:sysClr val="window" lastClr="FFFFFF"/>
                </a:bgClr>
              </a:pattFill>
            </c:spPr>
          </c:dPt>
          <c:dLbls>
            <c:dLbl>
              <c:idx val="0"/>
              <c:layout>
                <c:manualLayout>
                  <c:x val="-0.18580435258092787"/>
                  <c:y val="8.1407737419079404E-2"/>
                </c:manualLayout>
              </c:layout>
              <c:showVal val="1"/>
            </c:dLbl>
            <c:dLbl>
              <c:idx val="1"/>
              <c:layout>
                <c:manualLayout>
                  <c:x val="-0.14954997812773443"/>
                  <c:y val="-0.27420221596966227"/>
                </c:manualLayout>
              </c:layout>
              <c:showVal val="1"/>
            </c:dLbl>
            <c:dLbl>
              <c:idx val="2"/>
              <c:layout>
                <c:manualLayout>
                  <c:x val="0.17379912146398371"/>
                  <c:y val="-0.277371319720283"/>
                </c:manualLayout>
              </c:layout>
              <c:showVal val="1"/>
            </c:dLbl>
            <c:dLbl>
              <c:idx val="3"/>
              <c:layout>
                <c:manualLayout>
                  <c:x val="0.1476858231262759"/>
                  <c:y val="8.5201923869108992E-2"/>
                </c:manualLayout>
              </c:layout>
              <c:showVal val="1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31.9</c:v>
                </c:pt>
                <c:pt idx="1">
                  <c:v>14.7</c:v>
                </c:pt>
                <c:pt idx="2">
                  <c:v>22.6</c:v>
                </c:pt>
                <c:pt idx="3">
                  <c:v>26.4</c:v>
                </c:pt>
              </c:numCache>
            </c:numRef>
          </c:val>
        </c:ser>
      </c:pie3D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FC1AB4-BC79-44C0-9D26-23A65748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2015-12-05T19:49:00Z</dcterms:created>
  <dcterms:modified xsi:type="dcterms:W3CDTF">2015-12-05T19:49:00Z</dcterms:modified>
</cp:coreProperties>
</file>