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749" w:rsidRDefault="00961749" w:rsidP="00961749">
      <w:pPr>
        <w:spacing w:after="0"/>
        <w:ind w:firstLine="709"/>
        <w:jc w:val="both"/>
      </w:pPr>
      <w:proofErr w:type="spellStart"/>
      <w:r>
        <w:t>Григоревич</w:t>
      </w:r>
      <w:proofErr w:type="spellEnd"/>
      <w:r>
        <w:t>, И.В.  О</w:t>
      </w:r>
      <w:r w:rsidRPr="00211FCB">
        <w:t>тношение студенческой молодежи к ГФОК РБ и их физическая подготовленность к его выполнению</w:t>
      </w:r>
      <w:r>
        <w:rPr>
          <w:b/>
          <w:bCs/>
        </w:rPr>
        <w:t xml:space="preserve"> / </w:t>
      </w:r>
      <w:r>
        <w:t xml:space="preserve">И.В. </w:t>
      </w:r>
      <w:proofErr w:type="spellStart"/>
      <w:r>
        <w:t>Григоревич</w:t>
      </w:r>
      <w:proofErr w:type="spellEnd"/>
      <w:r>
        <w:t xml:space="preserve"> // Физическая культура, спорт, туризм: наука, образование, технологии: материалы ХII Всероссийской с международным участием научно-практической конференции магистрантов и молодых ученых</w:t>
      </w:r>
      <w:r w:rsidRPr="00211FCB">
        <w:t xml:space="preserve"> </w:t>
      </w:r>
      <w:r>
        <w:t xml:space="preserve">(19 апреля 2024 г.) / Ответственные редакторы Н. Ю. Мищенко, Е. В. Быков. – Челябинск: </w:t>
      </w:r>
      <w:proofErr w:type="spellStart"/>
      <w:r>
        <w:t>УралГУФК</w:t>
      </w:r>
      <w:proofErr w:type="spellEnd"/>
      <w:r>
        <w:t>, 2024. С.471-473.</w:t>
      </w:r>
    </w:p>
    <w:p w:rsidR="00961749" w:rsidRDefault="00961749" w:rsidP="00961749">
      <w:pPr>
        <w:spacing w:after="0"/>
        <w:jc w:val="both"/>
        <w:rPr>
          <w:rFonts w:cs="Times New Roman"/>
          <w:szCs w:val="28"/>
        </w:rPr>
      </w:pPr>
    </w:p>
    <w:p w:rsidR="00961749" w:rsidRDefault="00961749" w:rsidP="00961749">
      <w:pPr>
        <w:spacing w:after="0"/>
        <w:jc w:val="both"/>
        <w:rPr>
          <w:b/>
          <w:bCs/>
        </w:rPr>
      </w:pPr>
      <w:r>
        <w:rPr>
          <w:rFonts w:cs="Times New Roman"/>
          <w:szCs w:val="28"/>
        </w:rPr>
        <w:t>УДК 796.015.865</w:t>
      </w:r>
      <w:bookmarkStart w:id="0" w:name="_GoBack"/>
      <w:bookmarkEnd w:id="0"/>
    </w:p>
    <w:p w:rsidR="00961749" w:rsidRPr="00ED408D" w:rsidRDefault="00961749" w:rsidP="00961749">
      <w:pPr>
        <w:spacing w:after="0"/>
        <w:jc w:val="center"/>
        <w:rPr>
          <w:b/>
          <w:bCs/>
        </w:rPr>
      </w:pPr>
      <w:r w:rsidRPr="00ED408D">
        <w:rPr>
          <w:b/>
          <w:bCs/>
        </w:rPr>
        <w:t>ОТНОШЕНИЕ СТУДЕНЧЕСКОЙ МОЛОДЕЖИ К ГФОК</w:t>
      </w:r>
      <w:r>
        <w:rPr>
          <w:b/>
          <w:bCs/>
        </w:rPr>
        <w:t xml:space="preserve"> РБ И ИХ ФИЗИЧЕСКАЯ ПОДГОТОВЛЕННОСТЬ К ЕГО ВЫПОЛНЕНИЮ  </w:t>
      </w:r>
    </w:p>
    <w:p w:rsidR="00961749" w:rsidRDefault="00961749" w:rsidP="00961749">
      <w:pPr>
        <w:spacing w:after="0"/>
        <w:ind w:firstLine="709"/>
        <w:jc w:val="center"/>
      </w:pPr>
      <w:proofErr w:type="spellStart"/>
      <w:r>
        <w:t>Григоревич</w:t>
      </w:r>
      <w:proofErr w:type="spellEnd"/>
      <w:r>
        <w:t xml:space="preserve"> И.В.</w:t>
      </w:r>
    </w:p>
    <w:p w:rsidR="00961749" w:rsidRDefault="00961749" w:rsidP="00961749">
      <w:pPr>
        <w:spacing w:after="0"/>
        <w:ind w:firstLine="709"/>
        <w:jc w:val="center"/>
      </w:pPr>
      <w:r>
        <w:t>г. Минск, Республика Беларусь</w:t>
      </w:r>
    </w:p>
    <w:p w:rsidR="00961749" w:rsidRDefault="00961749" w:rsidP="00961749">
      <w:pPr>
        <w:spacing w:after="0"/>
        <w:ind w:firstLine="709"/>
        <w:jc w:val="center"/>
      </w:pPr>
      <w:bookmarkStart w:id="1" w:name="_Hlk161489132"/>
      <w:r>
        <w:t>Белорусский государственный педагогический университет</w:t>
      </w:r>
    </w:p>
    <w:bookmarkEnd w:id="1"/>
    <w:p w:rsidR="00961749" w:rsidRDefault="00961749" w:rsidP="00961749">
      <w:pPr>
        <w:spacing w:after="0"/>
        <w:ind w:firstLine="709"/>
        <w:jc w:val="center"/>
      </w:pPr>
      <w:r>
        <w:t>имени Максима Танка</w:t>
      </w:r>
    </w:p>
    <w:p w:rsidR="00961749" w:rsidRDefault="00961749" w:rsidP="00961749">
      <w:pPr>
        <w:spacing w:after="0"/>
        <w:ind w:firstLine="709"/>
        <w:jc w:val="center"/>
      </w:pPr>
      <w:proofErr w:type="spellStart"/>
      <w:r>
        <w:rPr>
          <w:rFonts w:cs="Times New Roman"/>
          <w:szCs w:val="28"/>
          <w:lang w:val="en-US"/>
        </w:rPr>
        <w:t>GrigorIvanVlad</w:t>
      </w:r>
      <w:proofErr w:type="spellEnd"/>
      <w:r w:rsidRPr="00AD684E">
        <w:rPr>
          <w:rFonts w:cs="Times New Roman"/>
          <w:szCs w:val="28"/>
        </w:rPr>
        <w:t>@</w:t>
      </w:r>
      <w:proofErr w:type="spellStart"/>
      <w:r>
        <w:rPr>
          <w:rFonts w:cs="Times New Roman"/>
          <w:szCs w:val="28"/>
          <w:lang w:val="en-US"/>
        </w:rPr>
        <w:t>gmail</w:t>
      </w:r>
      <w:proofErr w:type="spellEnd"/>
      <w:r w:rsidRPr="00AD684E">
        <w:rPr>
          <w:rFonts w:cs="Times New Roman"/>
          <w:szCs w:val="28"/>
        </w:rPr>
        <w:t>.</w:t>
      </w:r>
      <w:r>
        <w:rPr>
          <w:rFonts w:cs="Times New Roman"/>
          <w:szCs w:val="28"/>
          <w:lang w:val="en-US"/>
        </w:rPr>
        <w:t>com</w:t>
      </w:r>
    </w:p>
    <w:p w:rsidR="00961749" w:rsidRDefault="00961749" w:rsidP="00961749">
      <w:pPr>
        <w:spacing w:after="0"/>
        <w:ind w:firstLine="709"/>
        <w:jc w:val="both"/>
      </w:pPr>
      <w:r w:rsidRPr="00AD684E">
        <w:rPr>
          <w:b/>
          <w:bCs/>
        </w:rPr>
        <w:t>Аннотация</w:t>
      </w:r>
      <w:r>
        <w:rPr>
          <w:b/>
          <w:bCs/>
        </w:rPr>
        <w:t xml:space="preserve">. </w:t>
      </w:r>
      <w:r w:rsidRPr="00E77AB3">
        <w:t>В статье</w:t>
      </w:r>
      <w:r>
        <w:rPr>
          <w:b/>
          <w:bCs/>
        </w:rPr>
        <w:t xml:space="preserve"> </w:t>
      </w:r>
      <w:r w:rsidRPr="00E77AB3">
        <w:t>раскрывается отношение студентов</w:t>
      </w:r>
      <w:r>
        <w:rPr>
          <w:b/>
          <w:bCs/>
        </w:rPr>
        <w:t xml:space="preserve"> </w:t>
      </w:r>
      <w:r w:rsidRPr="00E77AB3">
        <w:t>Б</w:t>
      </w:r>
      <w:r>
        <w:t xml:space="preserve">елорусского государственного педагогического университета к </w:t>
      </w:r>
      <w:bookmarkStart w:id="2" w:name="_Hlk161489688"/>
      <w:r>
        <w:t xml:space="preserve">физкультурно-оздоровительному комплексу </w:t>
      </w:r>
      <w:bookmarkEnd w:id="2"/>
      <w:r>
        <w:t>Республики Беларусь и уровни физической подготовленности по его выполнению.</w:t>
      </w:r>
    </w:p>
    <w:p w:rsidR="00961749" w:rsidRDefault="00961749" w:rsidP="00961749">
      <w:pPr>
        <w:spacing w:after="0"/>
        <w:ind w:firstLine="709"/>
        <w:jc w:val="both"/>
        <w:rPr>
          <w:b/>
          <w:bCs/>
        </w:rPr>
      </w:pPr>
      <w:r>
        <w:rPr>
          <w:b/>
          <w:bCs/>
        </w:rPr>
        <w:t xml:space="preserve">Ключевые слова: </w:t>
      </w:r>
      <w:r w:rsidRPr="00655B4C">
        <w:t>студенты, государственный</w:t>
      </w:r>
      <w:r>
        <w:rPr>
          <w:b/>
          <w:bCs/>
        </w:rPr>
        <w:t xml:space="preserve"> </w:t>
      </w:r>
      <w:r>
        <w:t>физкультурно-оздоровительный комплекс, физическая подготовленность.</w:t>
      </w:r>
    </w:p>
    <w:p w:rsidR="00961749" w:rsidRPr="00AD684E" w:rsidRDefault="00961749" w:rsidP="00961749">
      <w:pPr>
        <w:spacing w:after="0"/>
        <w:ind w:firstLine="709"/>
        <w:jc w:val="both"/>
        <w:rPr>
          <w:b/>
          <w:bCs/>
        </w:rPr>
      </w:pPr>
    </w:p>
    <w:p w:rsidR="00961749" w:rsidRPr="000817B7" w:rsidRDefault="00961749" w:rsidP="00961749">
      <w:pPr>
        <w:spacing w:after="0"/>
        <w:jc w:val="center"/>
        <w:rPr>
          <w:lang w:val="en-US"/>
        </w:rPr>
      </w:pPr>
      <w:r w:rsidRPr="000817B7">
        <w:rPr>
          <w:lang w:val="en-US"/>
        </w:rPr>
        <w:t>ATTITUDE OF STUDENTS TO THE GFOK RB AND THEIR PHYSICAL PREPARATION FOR ITS IMPLEMENTATION</w:t>
      </w:r>
    </w:p>
    <w:p w:rsidR="00961749" w:rsidRPr="000817B7" w:rsidRDefault="00961749" w:rsidP="00961749">
      <w:pPr>
        <w:spacing w:after="0"/>
        <w:jc w:val="center"/>
        <w:rPr>
          <w:lang w:val="en-US"/>
        </w:rPr>
      </w:pPr>
      <w:proofErr w:type="spellStart"/>
      <w:r w:rsidRPr="000817B7">
        <w:rPr>
          <w:lang w:val="en-US"/>
        </w:rPr>
        <w:t>Grigorevich</w:t>
      </w:r>
      <w:proofErr w:type="spellEnd"/>
      <w:r w:rsidRPr="000817B7">
        <w:rPr>
          <w:lang w:val="en-US"/>
        </w:rPr>
        <w:t xml:space="preserve"> I.V.</w:t>
      </w:r>
    </w:p>
    <w:p w:rsidR="00961749" w:rsidRPr="000817B7" w:rsidRDefault="00961749" w:rsidP="00961749">
      <w:pPr>
        <w:spacing w:after="0"/>
        <w:jc w:val="center"/>
        <w:rPr>
          <w:lang w:val="en-US"/>
        </w:rPr>
      </w:pPr>
      <w:r w:rsidRPr="000817B7">
        <w:rPr>
          <w:lang w:val="en-US"/>
        </w:rPr>
        <w:t>Minsk, Republic of Belarus</w:t>
      </w:r>
    </w:p>
    <w:p w:rsidR="00961749" w:rsidRDefault="00961749" w:rsidP="00961749">
      <w:pPr>
        <w:spacing w:after="0"/>
        <w:jc w:val="center"/>
        <w:rPr>
          <w:lang w:val="en-US"/>
        </w:rPr>
      </w:pPr>
      <w:r w:rsidRPr="007E6A32">
        <w:rPr>
          <w:lang w:val="en-US"/>
        </w:rPr>
        <w:t>Belarusian State Pedagogical University named after Maxim Tank</w:t>
      </w:r>
    </w:p>
    <w:p w:rsidR="00961749" w:rsidRPr="000817B7" w:rsidRDefault="00961749" w:rsidP="00961749">
      <w:pPr>
        <w:spacing w:after="0"/>
        <w:ind w:firstLine="709"/>
        <w:jc w:val="both"/>
        <w:rPr>
          <w:lang w:val="en-US"/>
        </w:rPr>
      </w:pPr>
      <w:r w:rsidRPr="000817B7">
        <w:rPr>
          <w:b/>
          <w:bCs/>
          <w:lang w:val="en-US"/>
        </w:rPr>
        <w:t>Annotation</w:t>
      </w:r>
      <w:r w:rsidRPr="000817B7">
        <w:rPr>
          <w:lang w:val="en-US"/>
        </w:rPr>
        <w:t>. The article reveals the attitude of students of the Belarusian State Pedagogical University to the physical education and health complex of the Republic of Belarus and the levels of physical fitness for its implementation.</w:t>
      </w:r>
    </w:p>
    <w:p w:rsidR="00961749" w:rsidRPr="000817B7" w:rsidRDefault="00961749" w:rsidP="00961749">
      <w:pPr>
        <w:spacing w:after="0"/>
        <w:ind w:firstLine="709"/>
        <w:jc w:val="both"/>
        <w:rPr>
          <w:lang w:val="en-US"/>
        </w:rPr>
      </w:pPr>
      <w:r w:rsidRPr="000817B7">
        <w:rPr>
          <w:b/>
          <w:bCs/>
          <w:lang w:val="en-US"/>
        </w:rPr>
        <w:t>Key words</w:t>
      </w:r>
      <w:r w:rsidRPr="000817B7">
        <w:rPr>
          <w:lang w:val="en-US"/>
        </w:rPr>
        <w:t>: students, state sports and recreation complex, physical fitness.</w:t>
      </w:r>
    </w:p>
    <w:p w:rsidR="00961749" w:rsidRPr="000817B7" w:rsidRDefault="00961749" w:rsidP="00961749">
      <w:pPr>
        <w:spacing w:after="0"/>
        <w:ind w:firstLine="709"/>
        <w:jc w:val="both"/>
        <w:rPr>
          <w:lang w:val="en-US"/>
        </w:rPr>
      </w:pPr>
    </w:p>
    <w:p w:rsidR="00961749" w:rsidRDefault="00961749" w:rsidP="00961749">
      <w:pPr>
        <w:spacing w:after="0"/>
        <w:ind w:firstLine="709"/>
        <w:jc w:val="both"/>
      </w:pPr>
      <w:r w:rsidRPr="003024AE">
        <w:rPr>
          <w:b/>
          <w:bCs/>
        </w:rPr>
        <w:t>Введение.</w:t>
      </w:r>
      <w:r>
        <w:t xml:space="preserve"> Физическая подготовленность молодого поколения, частью которого является современное студенчество, является основой здорового общества в целом. Только физически подготовленные, здоровые люди способны в полной мере выполнять свои трудовые и социальные обязанности, осуществлять защиту своей родины, поэтому задачи физического воспитания студенческой молодежи являются задачами первостепенной важности, как в Республике Беларусь, так и в России. Занятия физической культурой и спортом способствуют не только развитию основных физических качеств и двигательных навыков, сохранению и поддержанию здоровья, но и несут большую эмоциональную и эстетическую нагрузку, обладают огромным воспитательным потенциалом [1]. </w:t>
      </w:r>
    </w:p>
    <w:p w:rsidR="00961749" w:rsidRDefault="00961749" w:rsidP="00961749">
      <w:pPr>
        <w:spacing w:after="0"/>
        <w:ind w:firstLine="709"/>
        <w:jc w:val="both"/>
      </w:pPr>
      <w:r>
        <w:lastRenderedPageBreak/>
        <w:t xml:space="preserve">Однако в последние годы наблюдается рост заболеваемости детей и молодежи на фоне снижения их физической подготовленности [2]. </w:t>
      </w:r>
    </w:p>
    <w:p w:rsidR="00961749" w:rsidRDefault="00961749" w:rsidP="00961749">
      <w:pPr>
        <w:spacing w:after="0"/>
        <w:ind w:firstLine="709"/>
        <w:jc w:val="both"/>
      </w:pPr>
      <w:r>
        <w:t xml:space="preserve">Так в БГПУ в 2022-2023 учебном году на 1 курсе </w:t>
      </w:r>
      <w:bookmarkStart w:id="3" w:name="_Hlk161734178"/>
      <w:r>
        <w:t xml:space="preserve">к подготовительной группе относилось 37,5% студентов, к специальной медицинской – 18,1%, к ЛФК – 4,9% и 2% были освобождены </w:t>
      </w:r>
      <w:bookmarkStart w:id="4" w:name="_Hlk161734474"/>
      <w:r>
        <w:t xml:space="preserve">от занятий </w:t>
      </w:r>
      <w:bookmarkEnd w:id="3"/>
      <w:r>
        <w:t>физической культурой</w:t>
      </w:r>
      <w:bookmarkEnd w:id="4"/>
      <w:r>
        <w:t>.  На втором курсе к подготовительной группе относилось 37,3% студентов, к специальной медицинской – 21,3%, к ЛФК – 3,4% и 1,9% были освобождены от занятий. На третьем курсе увеличился процент студентов относящихся к специальной медицинской до 23,0%, к ЛФК до 6,0% и освобождены</w:t>
      </w:r>
      <w:r w:rsidRPr="001D1E2C">
        <w:t xml:space="preserve"> </w:t>
      </w:r>
      <w:r>
        <w:t>от занятий по дисциплине «Физическая культура 3,0% студентов БГПУ.</w:t>
      </w:r>
    </w:p>
    <w:p w:rsidR="00961749" w:rsidRDefault="00961749" w:rsidP="00961749">
      <w:pPr>
        <w:spacing w:after="0"/>
        <w:ind w:firstLine="709"/>
        <w:jc w:val="both"/>
      </w:pPr>
      <w:r>
        <w:t xml:space="preserve"> Данный факт актуализирует вопросы организации и оптимизации физического воспитания молодого поколения, увеличения уровня его физической и функциональной подготовленности.</w:t>
      </w:r>
    </w:p>
    <w:p w:rsidR="00961749" w:rsidRDefault="00961749" w:rsidP="00961749">
      <w:pPr>
        <w:spacing w:after="0"/>
        <w:ind w:firstLine="709"/>
        <w:jc w:val="both"/>
        <w:rPr>
          <w:b/>
          <w:bCs/>
        </w:rPr>
      </w:pPr>
      <w:r w:rsidRPr="003024AE">
        <w:rPr>
          <w:b/>
          <w:bCs/>
        </w:rPr>
        <w:t>Цель исследования.</w:t>
      </w:r>
      <w:r w:rsidRPr="00E20F36">
        <w:t xml:space="preserve"> </w:t>
      </w:r>
      <w:r>
        <w:t xml:space="preserve">Выяснить отношение студентов БГПУ к   </w:t>
      </w:r>
      <w:bookmarkStart w:id="5" w:name="_Hlk161489289"/>
      <w:r>
        <w:t xml:space="preserve">физкультурно-оздоровительному комплексу Республики Беларусь, уровень </w:t>
      </w:r>
      <w:bookmarkEnd w:id="5"/>
      <w:r>
        <w:t xml:space="preserve">физической подготовленности и выявление на этой основе путей совершенствования </w:t>
      </w:r>
      <w:bookmarkStart w:id="6" w:name="_Hlk161577716"/>
      <w:r>
        <w:t xml:space="preserve">физических </w:t>
      </w:r>
      <w:bookmarkEnd w:id="6"/>
      <w:r>
        <w:t>качеств для выполнения норм в условиях вуза.</w:t>
      </w:r>
    </w:p>
    <w:p w:rsidR="00961749" w:rsidRDefault="00961749" w:rsidP="00961749">
      <w:pPr>
        <w:spacing w:after="0"/>
        <w:ind w:firstLine="709"/>
        <w:jc w:val="both"/>
      </w:pPr>
      <w:r w:rsidRPr="003024AE">
        <w:rPr>
          <w:b/>
          <w:bCs/>
        </w:rPr>
        <w:t>Методы и организация исследования.</w:t>
      </w:r>
      <w:r>
        <w:rPr>
          <w:b/>
          <w:bCs/>
        </w:rPr>
        <w:t xml:space="preserve"> </w:t>
      </w:r>
      <w:r w:rsidRPr="00480419">
        <w:t>Изучение научно-методической литературы и интернет-ресурсов, про</w:t>
      </w:r>
      <w:r>
        <w:t>ведение опроса и тестирования физической</w:t>
      </w:r>
      <w:r w:rsidRPr="00480419">
        <w:t xml:space="preserve"> </w:t>
      </w:r>
      <w:r>
        <w:t xml:space="preserve">подготовленности студентов. Опрос проводился среди девушек и юношей 1-3 курсов, а тестирование уровня физической подготовленности только среди юношей первого курса.  Анализ </w:t>
      </w:r>
      <w:r w:rsidRPr="00480419">
        <w:t>данных</w:t>
      </w:r>
      <w:r>
        <w:t xml:space="preserve"> опроса и результатов тестирования.</w:t>
      </w:r>
    </w:p>
    <w:p w:rsidR="00961749" w:rsidRDefault="00961749" w:rsidP="00961749">
      <w:pPr>
        <w:spacing w:after="0"/>
        <w:ind w:firstLine="709"/>
        <w:jc w:val="both"/>
        <w:rPr>
          <w:rFonts w:cs="Times New Roman"/>
          <w:szCs w:val="28"/>
        </w:rPr>
      </w:pPr>
      <w:r w:rsidRPr="003024AE">
        <w:rPr>
          <w:b/>
          <w:bCs/>
        </w:rPr>
        <w:t>Результаты и обсуждение.</w:t>
      </w:r>
      <w:r>
        <w:rPr>
          <w:b/>
          <w:bCs/>
        </w:rPr>
        <w:t xml:space="preserve"> </w:t>
      </w:r>
      <w:bookmarkStart w:id="7" w:name="_Hlk161738805"/>
      <w:r w:rsidRPr="008D3085">
        <w:rPr>
          <w:rFonts w:cs="Times New Roman"/>
          <w:szCs w:val="28"/>
        </w:rPr>
        <w:t xml:space="preserve">На вопрос </w:t>
      </w:r>
      <w:r>
        <w:rPr>
          <w:rFonts w:cs="Times New Roman"/>
          <w:szCs w:val="28"/>
        </w:rPr>
        <w:t>«</w:t>
      </w:r>
      <w:r>
        <w:t xml:space="preserve">Знаете ли Вы что такое </w:t>
      </w:r>
      <w:bookmarkStart w:id="8" w:name="_Hlk161485038"/>
      <w:r>
        <w:t xml:space="preserve">Государственный физкультурно-оздоровительный комплекс Республики Беларусь </w:t>
      </w:r>
      <w:bookmarkEnd w:id="8"/>
      <w:r>
        <w:t>(</w:t>
      </w:r>
      <w:bookmarkStart w:id="9" w:name="_Hlk161484829"/>
      <w:r>
        <w:t xml:space="preserve">ГФОК </w:t>
      </w:r>
      <w:bookmarkEnd w:id="9"/>
      <w:r>
        <w:t xml:space="preserve">РБ) </w:t>
      </w:r>
      <w:r w:rsidRPr="008D3085">
        <w:rPr>
          <w:rFonts w:cs="Times New Roman"/>
          <w:szCs w:val="28"/>
        </w:rPr>
        <w:t>опрошенные дали следующие ответы, которые отражены на рисунке 1.</w:t>
      </w:r>
    </w:p>
    <w:bookmarkEnd w:id="7"/>
    <w:p w:rsidR="00961749" w:rsidRDefault="00961749" w:rsidP="00961749">
      <w:pPr>
        <w:spacing w:after="0"/>
        <w:ind w:firstLine="709"/>
        <w:jc w:val="both"/>
        <w:rPr>
          <w:rFonts w:cs="Times New Roman"/>
          <w:szCs w:val="28"/>
        </w:rPr>
      </w:pPr>
    </w:p>
    <w:p w:rsidR="00961749" w:rsidRDefault="00961749" w:rsidP="00961749">
      <w:pPr>
        <w:spacing w:after="0"/>
        <w:jc w:val="both"/>
        <w:rPr>
          <w:rFonts w:cs="Times New Roman"/>
          <w:szCs w:val="28"/>
        </w:rPr>
      </w:pPr>
      <w:r>
        <w:rPr>
          <w:noProof/>
        </w:rPr>
        <w:lastRenderedPageBreak/>
        <w:drawing>
          <wp:inline distT="0" distB="0" distL="0" distR="0" wp14:anchorId="47C0AAB9" wp14:editId="45626382">
            <wp:extent cx="5759450" cy="3569335"/>
            <wp:effectExtent l="0" t="0" r="12700" b="12065"/>
            <wp:docPr id="5" name="Диаграмма 5">
              <a:extLst xmlns:a="http://schemas.openxmlformats.org/drawingml/2006/main">
                <a:ext uri="{FF2B5EF4-FFF2-40B4-BE49-F238E27FC236}">
                  <a16:creationId xmlns:a16="http://schemas.microsoft.com/office/drawing/2014/main" id="{15648CEA-399B-41D0-8710-214BFF15C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61749" w:rsidRDefault="00961749" w:rsidP="00961749">
      <w:pPr>
        <w:spacing w:after="0"/>
        <w:ind w:firstLine="709"/>
        <w:jc w:val="both"/>
        <w:rPr>
          <w:rFonts w:cs="Times New Roman"/>
          <w:bCs/>
          <w:szCs w:val="28"/>
        </w:rPr>
      </w:pPr>
      <w:r>
        <w:rPr>
          <w:rFonts w:cs="Times New Roman"/>
          <w:bCs/>
          <w:szCs w:val="28"/>
        </w:rPr>
        <w:t xml:space="preserve">Рис. 1. Осведомленность студентов о </w:t>
      </w:r>
      <w:r>
        <w:t>Государственном физкультурно-оздоровительном комплексе Республики Беларусь.</w:t>
      </w:r>
    </w:p>
    <w:p w:rsidR="00961749" w:rsidRDefault="00961749" w:rsidP="00961749">
      <w:pPr>
        <w:spacing w:after="0"/>
        <w:ind w:firstLine="709"/>
        <w:jc w:val="both"/>
      </w:pPr>
      <w:bookmarkStart w:id="10" w:name="_Hlk162079879"/>
      <w:r w:rsidRPr="00B31BEA">
        <w:t>Опрос показал, что 62,5%</w:t>
      </w:r>
      <w:r>
        <w:t xml:space="preserve"> студентов знают, что такое</w:t>
      </w:r>
      <w:r w:rsidRPr="00B31BEA">
        <w:t xml:space="preserve"> </w:t>
      </w:r>
      <w:r>
        <w:t xml:space="preserve">ГФОК </w:t>
      </w:r>
      <w:bookmarkEnd w:id="10"/>
      <w:r>
        <w:t xml:space="preserve">и 37,5% не слышали о нем. Выяснилось также, что </w:t>
      </w:r>
      <w:bookmarkStart w:id="11" w:name="_Hlk162079945"/>
      <w:r>
        <w:t xml:space="preserve">количество опрошенных (48,3%),   которые знают нормативы ГФОК для своего возраста и пола </w:t>
      </w:r>
      <w:bookmarkEnd w:id="11"/>
      <w:r>
        <w:t xml:space="preserve">чуть меньше тех, кто не знает их (51,7%). Количество ответивших студентов (57,7%), что они знают, что нормативы </w:t>
      </w:r>
      <w:bookmarkStart w:id="12" w:name="_Hlk161486891"/>
      <w:r>
        <w:t>физической подготовленности по учебной дисциплине «Физическая культура» разработаны на основе ГФОК</w:t>
      </w:r>
      <w:bookmarkEnd w:id="12"/>
      <w:r>
        <w:t xml:space="preserve"> преобладает над теми (42,3%), кто не знает об этом.</w:t>
      </w:r>
    </w:p>
    <w:p w:rsidR="00961749" w:rsidRDefault="00961749" w:rsidP="00961749">
      <w:pPr>
        <w:spacing w:after="0"/>
        <w:ind w:firstLine="709"/>
        <w:jc w:val="both"/>
        <w:rPr>
          <w:rFonts w:cs="Times New Roman"/>
          <w:szCs w:val="28"/>
        </w:rPr>
      </w:pPr>
      <w:r w:rsidRPr="008D3085">
        <w:rPr>
          <w:rFonts w:cs="Times New Roman"/>
          <w:szCs w:val="28"/>
        </w:rPr>
        <w:t xml:space="preserve">На вопрос </w:t>
      </w:r>
      <w:r>
        <w:rPr>
          <w:rFonts w:cs="Times New Roman"/>
          <w:szCs w:val="28"/>
        </w:rPr>
        <w:t>«</w:t>
      </w:r>
      <w:r>
        <w:t xml:space="preserve">Готовитесь ли Вы </w:t>
      </w:r>
      <w:bookmarkStart w:id="13" w:name="_Hlk161486986"/>
      <w:r>
        <w:t xml:space="preserve">на занятиях по физической культуре к сдаче норм ГФОК?» юноши и девушки </w:t>
      </w:r>
      <w:bookmarkEnd w:id="13"/>
      <w:r>
        <w:t xml:space="preserve">БГПУ дали </w:t>
      </w:r>
      <w:r w:rsidRPr="008D3085">
        <w:rPr>
          <w:rFonts w:cs="Times New Roman"/>
          <w:szCs w:val="28"/>
        </w:rPr>
        <w:t xml:space="preserve">следующие ответы, которые </w:t>
      </w:r>
      <w:r>
        <w:t>проиллюстрированы</w:t>
      </w:r>
      <w:r w:rsidRPr="008D3085">
        <w:rPr>
          <w:rFonts w:cs="Times New Roman"/>
          <w:szCs w:val="28"/>
        </w:rPr>
        <w:t xml:space="preserve"> на рисунке </w:t>
      </w:r>
      <w:r>
        <w:rPr>
          <w:rFonts w:cs="Times New Roman"/>
          <w:szCs w:val="28"/>
        </w:rPr>
        <w:t>2</w:t>
      </w:r>
      <w:r w:rsidRPr="008D3085">
        <w:rPr>
          <w:rFonts w:cs="Times New Roman"/>
          <w:szCs w:val="28"/>
        </w:rPr>
        <w:t>.</w:t>
      </w:r>
    </w:p>
    <w:p w:rsidR="00961749" w:rsidRDefault="00961749" w:rsidP="00961749">
      <w:pPr>
        <w:spacing w:after="0"/>
        <w:ind w:firstLine="709"/>
        <w:jc w:val="both"/>
      </w:pPr>
    </w:p>
    <w:p w:rsidR="00961749" w:rsidRDefault="00961749" w:rsidP="00961749">
      <w:pPr>
        <w:spacing w:after="0"/>
        <w:jc w:val="both"/>
      </w:pPr>
      <w:r>
        <w:rPr>
          <w:noProof/>
        </w:rPr>
        <w:lastRenderedPageBreak/>
        <w:drawing>
          <wp:inline distT="0" distB="0" distL="0" distR="0" wp14:anchorId="6A904612" wp14:editId="3BDD0432">
            <wp:extent cx="5759450" cy="3601085"/>
            <wp:effectExtent l="0" t="0" r="12700" b="18415"/>
            <wp:docPr id="12" name="Диаграмма 12">
              <a:extLst xmlns:a="http://schemas.openxmlformats.org/drawingml/2006/main">
                <a:ext uri="{FF2B5EF4-FFF2-40B4-BE49-F238E27FC236}">
                  <a16:creationId xmlns:a16="http://schemas.microsoft.com/office/drawing/2014/main" id="{E310D5C3-2647-4E76-905F-ADCBAFA2D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61749" w:rsidRDefault="00961749" w:rsidP="00961749">
      <w:pPr>
        <w:spacing w:after="0"/>
        <w:ind w:firstLine="709"/>
        <w:jc w:val="both"/>
      </w:pPr>
      <w:r>
        <w:t xml:space="preserve">Рис.2. Подготовка к сдаче норм ГФОК на занятиях по физической культуре </w:t>
      </w:r>
    </w:p>
    <w:p w:rsidR="00961749" w:rsidRDefault="00961749" w:rsidP="00961749">
      <w:pPr>
        <w:spacing w:after="0"/>
        <w:ind w:firstLine="709"/>
        <w:jc w:val="both"/>
      </w:pPr>
    </w:p>
    <w:p w:rsidR="00961749" w:rsidRDefault="00961749" w:rsidP="00961749">
      <w:pPr>
        <w:spacing w:after="0"/>
        <w:ind w:firstLine="709"/>
        <w:jc w:val="both"/>
      </w:pPr>
      <w:r>
        <w:t xml:space="preserve">Количество студентов, считающих, что они </w:t>
      </w:r>
      <w:bookmarkStart w:id="14" w:name="_Hlk162079997"/>
      <w:r>
        <w:t xml:space="preserve">готовятся к сдаче нормативов на занятиях по дисциплине «Физическая культура» составило 68,2%, </w:t>
      </w:r>
      <w:bookmarkEnd w:id="14"/>
      <w:r>
        <w:t xml:space="preserve">а 31,8% опрошенных не используют эту возможность для подготовки </w:t>
      </w:r>
      <w:bookmarkStart w:id="15" w:name="_Hlk161739373"/>
      <w:r>
        <w:t>к сдаче норм ГФОК.</w:t>
      </w:r>
    </w:p>
    <w:bookmarkEnd w:id="15"/>
    <w:p w:rsidR="00961749" w:rsidRDefault="00961749" w:rsidP="00961749">
      <w:pPr>
        <w:spacing w:after="0"/>
        <w:ind w:firstLine="709"/>
        <w:jc w:val="both"/>
      </w:pPr>
      <w:r>
        <w:t>Однако следует отметить, что 34,7% студентов ответили, что они самостоятельно готовятся к сдаче норм ГФОК.</w:t>
      </w:r>
      <w:r w:rsidRPr="0078137B">
        <w:t xml:space="preserve"> </w:t>
      </w:r>
      <w:r>
        <w:t>Но настораживает тот факт, что в самостоятельном режиме не приступают к физической подготовке 65,3% опрошенных.</w:t>
      </w:r>
    </w:p>
    <w:p w:rsidR="00961749" w:rsidRDefault="00961749" w:rsidP="00961749">
      <w:pPr>
        <w:spacing w:after="0"/>
        <w:ind w:firstLine="709"/>
        <w:jc w:val="both"/>
      </w:pPr>
      <w:r>
        <w:t xml:space="preserve">На вопрос о влиянии </w:t>
      </w:r>
      <w:bookmarkStart w:id="16" w:name="_Hlk161766685"/>
      <w:r>
        <w:t>ГФОК на развитие массовой физической культуры среди молодёжи б</w:t>
      </w:r>
      <w:bookmarkEnd w:id="16"/>
      <w:r>
        <w:t xml:space="preserve">ыли получены от респондентов следующие ответы, которые </w:t>
      </w:r>
      <w:r w:rsidRPr="008D3085">
        <w:rPr>
          <w:rFonts w:cs="Times New Roman"/>
          <w:szCs w:val="28"/>
        </w:rPr>
        <w:t>отражены</w:t>
      </w:r>
      <w:r>
        <w:t xml:space="preserve"> на рисунке 3.</w:t>
      </w:r>
    </w:p>
    <w:p w:rsidR="00961749" w:rsidRDefault="00961749" w:rsidP="00961749">
      <w:pPr>
        <w:spacing w:after="0"/>
        <w:jc w:val="both"/>
      </w:pPr>
      <w:r>
        <w:rPr>
          <w:noProof/>
        </w:rPr>
        <w:lastRenderedPageBreak/>
        <w:drawing>
          <wp:inline distT="0" distB="0" distL="0" distR="0" wp14:anchorId="28F6BBF8" wp14:editId="1C95EFB7">
            <wp:extent cx="5759450" cy="3606165"/>
            <wp:effectExtent l="0" t="0" r="12700" b="13335"/>
            <wp:docPr id="1" name="Диаграмма 1">
              <a:extLst xmlns:a="http://schemas.openxmlformats.org/drawingml/2006/main">
                <a:ext uri="{FF2B5EF4-FFF2-40B4-BE49-F238E27FC236}">
                  <a16:creationId xmlns:a16="http://schemas.microsoft.com/office/drawing/2014/main" id="{99B34B83-0FEB-4C6A-BAAD-A51C992E4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61749" w:rsidRDefault="00961749" w:rsidP="00961749">
      <w:pPr>
        <w:spacing w:after="0"/>
        <w:ind w:firstLine="709"/>
        <w:jc w:val="both"/>
      </w:pPr>
      <w:r>
        <w:t xml:space="preserve">Рис. 3. </w:t>
      </w:r>
      <w:bookmarkStart w:id="17" w:name="_Hlk161766123"/>
      <w:r>
        <w:t>Влияние ГФОК на развитие массовой физической культуры среди молодёжи</w:t>
      </w:r>
    </w:p>
    <w:bookmarkEnd w:id="17"/>
    <w:p w:rsidR="00961749" w:rsidRDefault="00961749" w:rsidP="00961749">
      <w:pPr>
        <w:spacing w:after="0"/>
        <w:ind w:firstLine="709"/>
        <w:jc w:val="both"/>
      </w:pPr>
    </w:p>
    <w:p w:rsidR="00961749" w:rsidRDefault="00961749" w:rsidP="00961749">
      <w:pPr>
        <w:spacing w:after="0"/>
        <w:ind w:firstLine="709"/>
        <w:jc w:val="both"/>
      </w:pPr>
      <w:bookmarkStart w:id="18" w:name="_Hlk162080031"/>
      <w:r>
        <w:t xml:space="preserve">Более половины опрошенных (52,8%) считают, </w:t>
      </w:r>
      <w:bookmarkStart w:id="19" w:name="_Hlk161767137"/>
      <w:r>
        <w:t xml:space="preserve">что ГФОК оказывает влияние на развитие массовой физической культуры среди </w:t>
      </w:r>
      <w:bookmarkEnd w:id="19"/>
      <w:r>
        <w:t>студенческой молодёжи</w:t>
      </w:r>
      <w:bookmarkEnd w:id="18"/>
      <w:r>
        <w:t xml:space="preserve">. Третья часть юношей и девушек (34,75) </w:t>
      </w:r>
      <w:bookmarkStart w:id="20" w:name="_Hlk161767769"/>
      <w:r>
        <w:t xml:space="preserve">затрудняются ответить </w:t>
      </w:r>
      <w:bookmarkEnd w:id="20"/>
      <w:r>
        <w:t>на этот вопрос. И 12,5% респондентов считают, что ГФОК не влияет на развитие массовой физической культуры среди обучающихся в ВУЗах.</w:t>
      </w:r>
    </w:p>
    <w:p w:rsidR="00961749" w:rsidRDefault="00961749" w:rsidP="00961749">
      <w:pPr>
        <w:spacing w:after="0"/>
        <w:ind w:firstLine="709"/>
        <w:jc w:val="both"/>
      </w:pPr>
      <w:r>
        <w:t>Количество студентов, которые готовы</w:t>
      </w:r>
      <w:r w:rsidRPr="00AA1BDF">
        <w:t xml:space="preserve"> </w:t>
      </w:r>
      <w:r>
        <w:t>прежде всего психологически к сдаче норм ГФОК составило 34,1%.  Не готовы к выполнению нормативов 16,5% юношей и девушек и затрудняются ответить – 49,4%.</w:t>
      </w:r>
    </w:p>
    <w:p w:rsidR="00961749" w:rsidRDefault="00961749" w:rsidP="00961749">
      <w:pPr>
        <w:spacing w:after="0"/>
        <w:ind w:firstLine="709"/>
        <w:jc w:val="both"/>
      </w:pPr>
      <w:r>
        <w:t xml:space="preserve">Результаты тестирования физической подготовленности студентов юношей БГПУ первого курса в начале учебного года (таблица) показывают, </w:t>
      </w:r>
    </w:p>
    <w:p w:rsidR="00961749" w:rsidRDefault="00961749" w:rsidP="00961749">
      <w:pPr>
        <w:spacing w:after="0"/>
        <w:jc w:val="both"/>
      </w:pPr>
    </w:p>
    <w:p w:rsidR="00961749" w:rsidRDefault="00961749" w:rsidP="00961749">
      <w:pPr>
        <w:spacing w:after="0"/>
        <w:jc w:val="both"/>
      </w:pPr>
      <w:r>
        <w:t>Таблица. Уровни и баллы физической подготовленности студентов.</w:t>
      </w:r>
    </w:p>
    <w:tbl>
      <w:tblPr>
        <w:tblStyle w:val="a3"/>
        <w:tblW w:w="9067" w:type="dxa"/>
        <w:tblLook w:val="04A0" w:firstRow="1" w:lastRow="0" w:firstColumn="1" w:lastColumn="0" w:noHBand="0" w:noVBand="1"/>
      </w:tblPr>
      <w:tblGrid>
        <w:gridCol w:w="1132"/>
        <w:gridCol w:w="1133"/>
        <w:gridCol w:w="1134"/>
        <w:gridCol w:w="1134"/>
        <w:gridCol w:w="1133"/>
        <w:gridCol w:w="1134"/>
        <w:gridCol w:w="1133"/>
        <w:gridCol w:w="1134"/>
      </w:tblGrid>
      <w:tr w:rsidR="00961749" w:rsidTr="00031B04">
        <w:trPr>
          <w:trHeight w:val="230"/>
        </w:trPr>
        <w:tc>
          <w:tcPr>
            <w:tcW w:w="9067" w:type="dxa"/>
            <w:gridSpan w:val="8"/>
          </w:tcPr>
          <w:p w:rsidR="00961749" w:rsidRDefault="00961749" w:rsidP="00031B04">
            <w:pPr>
              <w:jc w:val="center"/>
            </w:pPr>
            <w:bookmarkStart w:id="21" w:name="_Hlk162026716"/>
            <w:r>
              <w:t xml:space="preserve">Уровни </w:t>
            </w:r>
            <w:bookmarkStart w:id="22" w:name="_Hlk162079530"/>
            <w:r>
              <w:t>физической подготовленности</w:t>
            </w:r>
            <w:bookmarkEnd w:id="22"/>
          </w:p>
        </w:tc>
      </w:tr>
      <w:tr w:rsidR="00961749" w:rsidTr="00031B04">
        <w:trPr>
          <w:trHeight w:val="230"/>
        </w:trPr>
        <w:tc>
          <w:tcPr>
            <w:tcW w:w="2265" w:type="dxa"/>
            <w:gridSpan w:val="2"/>
          </w:tcPr>
          <w:p w:rsidR="00961749" w:rsidRDefault="00961749" w:rsidP="00031B04">
            <w:pPr>
              <w:jc w:val="center"/>
            </w:pPr>
            <w:r>
              <w:t>Низкий</w:t>
            </w:r>
          </w:p>
        </w:tc>
        <w:tc>
          <w:tcPr>
            <w:tcW w:w="2268" w:type="dxa"/>
            <w:gridSpan w:val="2"/>
          </w:tcPr>
          <w:p w:rsidR="00961749" w:rsidRDefault="00961749" w:rsidP="00031B04">
            <w:pPr>
              <w:jc w:val="center"/>
            </w:pPr>
            <w:r>
              <w:t>Ниже среднего</w:t>
            </w:r>
          </w:p>
        </w:tc>
        <w:tc>
          <w:tcPr>
            <w:tcW w:w="2267" w:type="dxa"/>
            <w:gridSpan w:val="2"/>
          </w:tcPr>
          <w:p w:rsidR="00961749" w:rsidRDefault="00961749" w:rsidP="00031B04">
            <w:pPr>
              <w:jc w:val="center"/>
            </w:pPr>
            <w:r>
              <w:t>Средний</w:t>
            </w:r>
          </w:p>
        </w:tc>
        <w:tc>
          <w:tcPr>
            <w:tcW w:w="2267" w:type="dxa"/>
            <w:gridSpan w:val="2"/>
          </w:tcPr>
          <w:p w:rsidR="00961749" w:rsidRDefault="00961749" w:rsidP="00031B04">
            <w:pPr>
              <w:jc w:val="center"/>
            </w:pPr>
            <w:r>
              <w:t>Выше среднего</w:t>
            </w:r>
          </w:p>
        </w:tc>
      </w:tr>
      <w:tr w:rsidR="00961749" w:rsidTr="00031B04">
        <w:trPr>
          <w:trHeight w:val="230"/>
        </w:trPr>
        <w:tc>
          <w:tcPr>
            <w:tcW w:w="9067" w:type="dxa"/>
            <w:gridSpan w:val="8"/>
          </w:tcPr>
          <w:p w:rsidR="00961749" w:rsidRDefault="00961749" w:rsidP="00031B04">
            <w:pPr>
              <w:jc w:val="center"/>
            </w:pPr>
            <w:r>
              <w:t>Баллы</w:t>
            </w:r>
          </w:p>
        </w:tc>
      </w:tr>
      <w:tr w:rsidR="00961749" w:rsidTr="00031B04">
        <w:tc>
          <w:tcPr>
            <w:tcW w:w="1132" w:type="dxa"/>
          </w:tcPr>
          <w:p w:rsidR="00961749" w:rsidRDefault="00961749" w:rsidP="00031B04">
            <w:pPr>
              <w:jc w:val="center"/>
            </w:pPr>
            <w:r>
              <w:t xml:space="preserve">1 </w:t>
            </w:r>
          </w:p>
        </w:tc>
        <w:tc>
          <w:tcPr>
            <w:tcW w:w="1133" w:type="dxa"/>
          </w:tcPr>
          <w:p w:rsidR="00961749" w:rsidRDefault="00961749" w:rsidP="00031B04">
            <w:pPr>
              <w:jc w:val="center"/>
            </w:pPr>
            <w:r>
              <w:t>2</w:t>
            </w:r>
          </w:p>
        </w:tc>
        <w:tc>
          <w:tcPr>
            <w:tcW w:w="1134" w:type="dxa"/>
          </w:tcPr>
          <w:p w:rsidR="00961749" w:rsidRDefault="00961749" w:rsidP="00031B04">
            <w:pPr>
              <w:jc w:val="center"/>
            </w:pPr>
            <w:r>
              <w:t>3</w:t>
            </w:r>
          </w:p>
        </w:tc>
        <w:tc>
          <w:tcPr>
            <w:tcW w:w="1134" w:type="dxa"/>
          </w:tcPr>
          <w:p w:rsidR="00961749" w:rsidRDefault="00961749" w:rsidP="00031B04">
            <w:pPr>
              <w:jc w:val="center"/>
            </w:pPr>
            <w:r>
              <w:t>4</w:t>
            </w:r>
          </w:p>
        </w:tc>
        <w:tc>
          <w:tcPr>
            <w:tcW w:w="1133" w:type="dxa"/>
          </w:tcPr>
          <w:p w:rsidR="00961749" w:rsidRDefault="00961749" w:rsidP="00031B04">
            <w:pPr>
              <w:jc w:val="center"/>
            </w:pPr>
            <w:r>
              <w:t>5</w:t>
            </w:r>
          </w:p>
        </w:tc>
        <w:tc>
          <w:tcPr>
            <w:tcW w:w="1134" w:type="dxa"/>
          </w:tcPr>
          <w:p w:rsidR="00961749" w:rsidRDefault="00961749" w:rsidP="00031B04">
            <w:pPr>
              <w:jc w:val="center"/>
            </w:pPr>
            <w:r>
              <w:t>6</w:t>
            </w:r>
          </w:p>
        </w:tc>
        <w:tc>
          <w:tcPr>
            <w:tcW w:w="1133" w:type="dxa"/>
          </w:tcPr>
          <w:p w:rsidR="00961749" w:rsidRDefault="00961749" w:rsidP="00031B04">
            <w:pPr>
              <w:jc w:val="center"/>
            </w:pPr>
            <w:r>
              <w:t>7</w:t>
            </w:r>
          </w:p>
        </w:tc>
        <w:tc>
          <w:tcPr>
            <w:tcW w:w="1134" w:type="dxa"/>
          </w:tcPr>
          <w:p w:rsidR="00961749" w:rsidRDefault="00961749" w:rsidP="00031B04">
            <w:pPr>
              <w:jc w:val="center"/>
            </w:pPr>
            <w:r>
              <w:t>8</w:t>
            </w:r>
          </w:p>
        </w:tc>
      </w:tr>
      <w:tr w:rsidR="00961749" w:rsidTr="00031B04">
        <w:tc>
          <w:tcPr>
            <w:tcW w:w="1132" w:type="dxa"/>
          </w:tcPr>
          <w:p w:rsidR="00961749" w:rsidRDefault="00961749" w:rsidP="00031B04">
            <w:r>
              <w:t>32,6%</w:t>
            </w:r>
          </w:p>
        </w:tc>
        <w:tc>
          <w:tcPr>
            <w:tcW w:w="1133" w:type="dxa"/>
          </w:tcPr>
          <w:p w:rsidR="00961749" w:rsidRDefault="00961749" w:rsidP="00031B04">
            <w:pPr>
              <w:jc w:val="center"/>
            </w:pPr>
            <w:r>
              <w:t>22,1%</w:t>
            </w:r>
          </w:p>
        </w:tc>
        <w:tc>
          <w:tcPr>
            <w:tcW w:w="1134" w:type="dxa"/>
          </w:tcPr>
          <w:p w:rsidR="00961749" w:rsidRDefault="00961749" w:rsidP="00031B04">
            <w:pPr>
              <w:jc w:val="center"/>
            </w:pPr>
            <w:r>
              <w:t>22,1%</w:t>
            </w:r>
          </w:p>
        </w:tc>
        <w:tc>
          <w:tcPr>
            <w:tcW w:w="1134" w:type="dxa"/>
          </w:tcPr>
          <w:p w:rsidR="00961749" w:rsidRDefault="00961749" w:rsidP="00031B04">
            <w:pPr>
              <w:jc w:val="center"/>
            </w:pPr>
            <w:r>
              <w:t>12,8%</w:t>
            </w:r>
          </w:p>
        </w:tc>
        <w:tc>
          <w:tcPr>
            <w:tcW w:w="1133" w:type="dxa"/>
          </w:tcPr>
          <w:p w:rsidR="00961749" w:rsidRDefault="00961749" w:rsidP="00031B04">
            <w:pPr>
              <w:jc w:val="center"/>
            </w:pPr>
            <w:r>
              <w:t xml:space="preserve"> 4,6%</w:t>
            </w:r>
          </w:p>
        </w:tc>
        <w:tc>
          <w:tcPr>
            <w:tcW w:w="1134" w:type="dxa"/>
          </w:tcPr>
          <w:p w:rsidR="00961749" w:rsidRDefault="00961749" w:rsidP="00031B04">
            <w:pPr>
              <w:jc w:val="center"/>
            </w:pPr>
            <w:r>
              <w:t xml:space="preserve"> 4,6%</w:t>
            </w:r>
          </w:p>
        </w:tc>
        <w:tc>
          <w:tcPr>
            <w:tcW w:w="1133" w:type="dxa"/>
          </w:tcPr>
          <w:p w:rsidR="00961749" w:rsidRDefault="00961749" w:rsidP="00031B04">
            <w:pPr>
              <w:jc w:val="center"/>
            </w:pPr>
            <w:r>
              <w:t>1,2%</w:t>
            </w:r>
          </w:p>
        </w:tc>
        <w:tc>
          <w:tcPr>
            <w:tcW w:w="1134" w:type="dxa"/>
          </w:tcPr>
          <w:p w:rsidR="00961749" w:rsidRDefault="00961749" w:rsidP="00031B04">
            <w:pPr>
              <w:jc w:val="center"/>
            </w:pPr>
          </w:p>
        </w:tc>
      </w:tr>
      <w:bookmarkEnd w:id="21"/>
    </w:tbl>
    <w:p w:rsidR="00961749" w:rsidRDefault="00961749" w:rsidP="00961749">
      <w:pPr>
        <w:spacing w:after="0"/>
        <w:jc w:val="both"/>
      </w:pPr>
    </w:p>
    <w:p w:rsidR="00961749" w:rsidRDefault="00961749" w:rsidP="00961749">
      <w:pPr>
        <w:spacing w:after="0"/>
        <w:jc w:val="both"/>
      </w:pPr>
      <w:r>
        <w:t xml:space="preserve">что они не готовы к выполнению норм ГФОК.  Так как </w:t>
      </w:r>
      <w:r w:rsidRPr="00874AD8">
        <w:t>54,7% студентов юношей</w:t>
      </w:r>
      <w:r>
        <w:t xml:space="preserve"> выполнили тесты на «низкий» уровень и 34,9% - на уровень «ниже среднего». И только 9,2% - на «средний» и 1,2% - на уровень «выше среднего». </w:t>
      </w:r>
    </w:p>
    <w:p w:rsidR="00961749" w:rsidRDefault="00961749" w:rsidP="00961749">
      <w:pPr>
        <w:spacing w:after="0"/>
        <w:ind w:firstLine="709"/>
        <w:jc w:val="both"/>
        <w:rPr>
          <w:b/>
          <w:bCs/>
        </w:rPr>
      </w:pPr>
      <w:bookmarkStart w:id="23" w:name="_Hlk162107369"/>
      <w:r>
        <w:t xml:space="preserve">Положение о Государственном физкультурно-оздоровительном комплексе Республики Беларусь утверждено постановлением Министерства спорта и туризма Республики Беларусь от 2 июля 2014 г. </w:t>
      </w:r>
    </w:p>
    <w:p w:rsidR="00961749" w:rsidRDefault="00961749" w:rsidP="00961749">
      <w:pPr>
        <w:spacing w:after="0"/>
        <w:ind w:firstLine="709"/>
        <w:jc w:val="both"/>
        <w:rPr>
          <w:b/>
          <w:bCs/>
        </w:rPr>
      </w:pPr>
      <w:r>
        <w:lastRenderedPageBreak/>
        <w:t>Физкультурно-оздоровительная программа Комплекса состоит из 6 ступеней, дифференцированных по возрастным группам граждан от 6 до 59 лет и старше.</w:t>
      </w:r>
    </w:p>
    <w:p w:rsidR="00961749" w:rsidRDefault="00961749" w:rsidP="00961749">
      <w:pPr>
        <w:spacing w:after="0"/>
        <w:ind w:firstLine="709"/>
        <w:jc w:val="both"/>
      </w:pPr>
      <w:r>
        <w:t xml:space="preserve">Третья ступень «Физическое совершенство» </w:t>
      </w:r>
      <w:bookmarkStart w:id="24" w:name="_Hlk162698866"/>
      <w:r>
        <w:t>предназначена</w:t>
      </w:r>
      <w:bookmarkEnd w:id="24"/>
      <w:r>
        <w:t xml:space="preserve"> для девушек и юношей 17-18 лет, а четвертая ступень «Здоровье, сила и красота» для молодежи 19-22 лет. Третью и четвертую ступени и должна выполнять студенческая молодежь </w:t>
      </w:r>
      <w:r w:rsidRPr="00315B98">
        <w:t>[3]</w:t>
      </w:r>
      <w:r>
        <w:t>.</w:t>
      </w:r>
    </w:p>
    <w:p w:rsidR="00961749" w:rsidRDefault="00961749" w:rsidP="00961749">
      <w:pPr>
        <w:spacing w:after="0"/>
        <w:ind w:firstLine="709"/>
        <w:jc w:val="both"/>
      </w:pPr>
      <w:r w:rsidRPr="000F1E15">
        <w:rPr>
          <w:b/>
          <w:bCs/>
        </w:rPr>
        <w:t>Заключение</w:t>
      </w:r>
      <w:r>
        <w:t>. На основании результатов о</w:t>
      </w:r>
      <w:r w:rsidRPr="00B31BEA">
        <w:t>прос</w:t>
      </w:r>
      <w:r>
        <w:t>а можно резюмировать</w:t>
      </w:r>
      <w:r w:rsidRPr="00B31BEA">
        <w:t>, что 62,5%</w:t>
      </w:r>
      <w:r>
        <w:t xml:space="preserve"> студентов университета знают, что такое</w:t>
      </w:r>
      <w:r w:rsidRPr="00B31BEA">
        <w:t xml:space="preserve"> </w:t>
      </w:r>
      <w:r>
        <w:t>ГФОК и 48,3% опрошенных знают нормативы ГФОК для своего возраста и пола. Количество девушек и юношей, которые готовятся к сдаче нормативов на занятиях по дисциплине «Физическая культура» составляет 68,2%.  Более половины опрошенных (52,8%) считают, что ГФОК оказывает влияние на развитие массовой физической культуры среди студенческой молодёжи. Готовы</w:t>
      </w:r>
      <w:r w:rsidRPr="00AA1BDF">
        <w:t xml:space="preserve"> </w:t>
      </w:r>
      <w:r>
        <w:t xml:space="preserve">прежде всего психологически к сдаче норм ГФОК 34,1% студентов. </w:t>
      </w:r>
    </w:p>
    <w:p w:rsidR="00961749" w:rsidRDefault="00961749" w:rsidP="00961749">
      <w:pPr>
        <w:spacing w:after="0"/>
        <w:ind w:firstLine="709"/>
        <w:jc w:val="both"/>
        <w:rPr>
          <w:b/>
          <w:bCs/>
        </w:rPr>
      </w:pPr>
      <w:r>
        <w:rPr>
          <w:rFonts w:eastAsia="Times New Roman" w:cs="Times New Roman"/>
          <w:color w:val="000000"/>
          <w:szCs w:val="28"/>
        </w:rPr>
        <w:t>Ф</w:t>
      </w:r>
      <w:r w:rsidRPr="000817B7">
        <w:rPr>
          <w:rFonts w:eastAsia="Times New Roman" w:cs="Times New Roman"/>
          <w:color w:val="000000"/>
          <w:szCs w:val="28"/>
        </w:rPr>
        <w:t>изическ</w:t>
      </w:r>
      <w:r>
        <w:rPr>
          <w:rFonts w:eastAsia="Times New Roman" w:cs="Times New Roman"/>
          <w:color w:val="000000"/>
          <w:szCs w:val="28"/>
        </w:rPr>
        <w:t>ая</w:t>
      </w:r>
      <w:r w:rsidRPr="000817B7">
        <w:rPr>
          <w:rFonts w:eastAsia="Times New Roman" w:cs="Times New Roman"/>
          <w:color w:val="000000"/>
          <w:szCs w:val="28"/>
        </w:rPr>
        <w:t xml:space="preserve"> подготовленност</w:t>
      </w:r>
      <w:r>
        <w:rPr>
          <w:rFonts w:eastAsia="Times New Roman" w:cs="Times New Roman"/>
          <w:color w:val="000000"/>
          <w:szCs w:val="28"/>
        </w:rPr>
        <w:t>ь</w:t>
      </w:r>
      <w:r w:rsidRPr="000817B7">
        <w:rPr>
          <w:rFonts w:eastAsia="Times New Roman" w:cs="Times New Roman"/>
          <w:color w:val="000000"/>
          <w:szCs w:val="28"/>
        </w:rPr>
        <w:t xml:space="preserve"> </w:t>
      </w:r>
      <w:r>
        <w:rPr>
          <w:rFonts w:eastAsia="Times New Roman" w:cs="Times New Roman"/>
          <w:color w:val="000000"/>
          <w:szCs w:val="28"/>
        </w:rPr>
        <w:t>юношей недостаточная, так как 54</w:t>
      </w:r>
      <w:r w:rsidRPr="000817B7">
        <w:rPr>
          <w:rFonts w:eastAsia="Times New Roman" w:cs="Times New Roman"/>
          <w:color w:val="000000"/>
          <w:szCs w:val="28"/>
        </w:rPr>
        <w:t>,</w:t>
      </w:r>
      <w:r>
        <w:rPr>
          <w:rFonts w:eastAsia="Times New Roman" w:cs="Times New Roman"/>
          <w:color w:val="000000"/>
          <w:szCs w:val="28"/>
        </w:rPr>
        <w:t>7</w:t>
      </w:r>
      <w:r w:rsidRPr="000817B7">
        <w:rPr>
          <w:rFonts w:eastAsia="Times New Roman" w:cs="Times New Roman"/>
          <w:color w:val="000000"/>
          <w:szCs w:val="28"/>
        </w:rPr>
        <w:t>%</w:t>
      </w:r>
      <w:r>
        <w:rPr>
          <w:rFonts w:eastAsia="Times New Roman" w:cs="Times New Roman"/>
          <w:color w:val="000000"/>
          <w:szCs w:val="28"/>
        </w:rPr>
        <w:t xml:space="preserve"> протестированных показали «низкий» уровень выполнения нормативов и 34,9% - уровень «</w:t>
      </w:r>
      <w:r w:rsidRPr="000817B7">
        <w:rPr>
          <w:rFonts w:eastAsia="Times New Roman" w:cs="Times New Roman"/>
          <w:color w:val="000000"/>
          <w:szCs w:val="28"/>
        </w:rPr>
        <w:t>ниже среднего»</w:t>
      </w:r>
      <w:r>
        <w:rPr>
          <w:rFonts w:eastAsia="Times New Roman" w:cs="Times New Roman"/>
          <w:color w:val="000000"/>
          <w:szCs w:val="28"/>
        </w:rPr>
        <w:t xml:space="preserve">. </w:t>
      </w:r>
      <w:r w:rsidRPr="000817B7">
        <w:rPr>
          <w:rFonts w:eastAsia="Times New Roman" w:cs="Times New Roman"/>
          <w:color w:val="000000"/>
          <w:szCs w:val="28"/>
        </w:rPr>
        <w:t xml:space="preserve">Исходя из </w:t>
      </w:r>
      <w:r>
        <w:rPr>
          <w:rFonts w:eastAsia="Times New Roman" w:cs="Times New Roman"/>
          <w:color w:val="000000"/>
          <w:szCs w:val="28"/>
        </w:rPr>
        <w:t>результатов</w:t>
      </w:r>
      <w:r w:rsidRPr="000817B7">
        <w:rPr>
          <w:rFonts w:eastAsia="Times New Roman" w:cs="Times New Roman"/>
          <w:color w:val="000000"/>
          <w:szCs w:val="28"/>
        </w:rPr>
        <w:t xml:space="preserve"> </w:t>
      </w:r>
      <w:r>
        <w:rPr>
          <w:rFonts w:eastAsia="Times New Roman" w:cs="Times New Roman"/>
          <w:color w:val="000000"/>
          <w:szCs w:val="28"/>
        </w:rPr>
        <w:t>тестирования в университете</w:t>
      </w:r>
      <w:r w:rsidRPr="000817B7">
        <w:rPr>
          <w:rFonts w:eastAsia="Times New Roman" w:cs="Times New Roman"/>
          <w:color w:val="000000"/>
          <w:szCs w:val="28"/>
        </w:rPr>
        <w:t xml:space="preserve"> разраб</w:t>
      </w:r>
      <w:r>
        <w:rPr>
          <w:rFonts w:eastAsia="Times New Roman" w:cs="Times New Roman"/>
          <w:color w:val="000000"/>
          <w:szCs w:val="28"/>
        </w:rPr>
        <w:t>атывается</w:t>
      </w:r>
      <w:r w:rsidRPr="000817B7">
        <w:rPr>
          <w:rFonts w:eastAsia="Times New Roman" w:cs="Times New Roman"/>
          <w:color w:val="000000"/>
          <w:szCs w:val="28"/>
        </w:rPr>
        <w:t xml:space="preserve"> технология дифференцированной физической подготовки обучающихся педагогического вуза на основе использования мониторинга уровня физической подготовленности</w:t>
      </w:r>
      <w:r>
        <w:rPr>
          <w:rFonts w:eastAsia="Times New Roman" w:cs="Times New Roman"/>
          <w:color w:val="000000"/>
          <w:szCs w:val="28"/>
        </w:rPr>
        <w:t>.</w:t>
      </w:r>
    </w:p>
    <w:bookmarkEnd w:id="23"/>
    <w:p w:rsidR="00961749" w:rsidRDefault="00961749" w:rsidP="00961749">
      <w:pPr>
        <w:spacing w:after="0"/>
        <w:ind w:firstLine="709"/>
        <w:jc w:val="both"/>
        <w:rPr>
          <w:b/>
          <w:bCs/>
        </w:rPr>
      </w:pPr>
      <w:r>
        <w:rPr>
          <w:b/>
          <w:bCs/>
        </w:rPr>
        <w:t>Список литературы</w:t>
      </w:r>
    </w:p>
    <w:p w:rsidR="00961749" w:rsidRDefault="00961749" w:rsidP="00961749">
      <w:pPr>
        <w:spacing w:after="0"/>
        <w:ind w:firstLine="709"/>
        <w:jc w:val="both"/>
      </w:pPr>
      <w:r>
        <w:t xml:space="preserve">1. </w:t>
      </w:r>
      <w:proofErr w:type="spellStart"/>
      <w:r>
        <w:t>Васекин</w:t>
      </w:r>
      <w:proofErr w:type="spellEnd"/>
      <w:r>
        <w:t>, Ю. И. Значение общей физической подготовки студентов при подготовке к сдаче нормативов комплекса ГТО / Ю.И.</w:t>
      </w:r>
      <w:r w:rsidRPr="00AF2CD3">
        <w:t xml:space="preserve"> </w:t>
      </w:r>
      <w:proofErr w:type="spellStart"/>
      <w:r>
        <w:t>Васекин</w:t>
      </w:r>
      <w:proofErr w:type="spellEnd"/>
      <w:r>
        <w:t xml:space="preserve"> // Физическая культура и здоровый образ жизни студенческой молодежи: материалы VII </w:t>
      </w:r>
      <w:proofErr w:type="spellStart"/>
      <w:r>
        <w:t>межвуз</w:t>
      </w:r>
      <w:proofErr w:type="spellEnd"/>
      <w:r>
        <w:t>. науч.-</w:t>
      </w:r>
      <w:proofErr w:type="spellStart"/>
      <w:r>
        <w:t>практ</w:t>
      </w:r>
      <w:proofErr w:type="spellEnd"/>
      <w:r>
        <w:t xml:space="preserve">. </w:t>
      </w:r>
      <w:proofErr w:type="spellStart"/>
      <w:r>
        <w:t>конф</w:t>
      </w:r>
      <w:proofErr w:type="spellEnd"/>
      <w:r>
        <w:t xml:space="preserve">. Новосибирск, 2015. С. 19–21. </w:t>
      </w:r>
    </w:p>
    <w:p w:rsidR="00961749" w:rsidRDefault="00961749" w:rsidP="00961749">
      <w:pPr>
        <w:spacing w:after="0"/>
        <w:ind w:firstLine="709"/>
        <w:jc w:val="both"/>
      </w:pPr>
      <w:r>
        <w:t xml:space="preserve">2. </w:t>
      </w:r>
      <w:bookmarkStart w:id="25" w:name="_Hlk162689192"/>
      <w:proofErr w:type="spellStart"/>
      <w:r>
        <w:t>Беличева</w:t>
      </w:r>
      <w:proofErr w:type="spellEnd"/>
      <w:r>
        <w:t xml:space="preserve">, Т. В. </w:t>
      </w:r>
      <w:bookmarkEnd w:id="25"/>
      <w:r>
        <w:t xml:space="preserve">Состояние физической подготовленности студентов в рамках требований обязательных нормативов комплекса ГТО /Т.В. </w:t>
      </w:r>
      <w:proofErr w:type="spellStart"/>
      <w:r>
        <w:t>Беличева</w:t>
      </w:r>
      <w:proofErr w:type="spellEnd"/>
      <w:r>
        <w:t xml:space="preserve">, О.В. </w:t>
      </w:r>
      <w:proofErr w:type="spellStart"/>
      <w:r>
        <w:t>Крестьяинова</w:t>
      </w:r>
      <w:proofErr w:type="spellEnd"/>
      <w:r>
        <w:t xml:space="preserve">, Ю.В. Шапков // Возрождение Всероссийского физкультурно-спортивного комплекса ГТО: проблемы, опыт, перспективы: сб. науч.-метод. статей по итогам </w:t>
      </w:r>
      <w:proofErr w:type="spellStart"/>
      <w:r>
        <w:t>Всерос</w:t>
      </w:r>
      <w:proofErr w:type="spellEnd"/>
      <w:r>
        <w:t>. науч.-</w:t>
      </w:r>
      <w:proofErr w:type="spellStart"/>
      <w:r>
        <w:t>практ</w:t>
      </w:r>
      <w:proofErr w:type="spellEnd"/>
      <w:r>
        <w:t xml:space="preserve">. </w:t>
      </w:r>
      <w:proofErr w:type="spellStart"/>
      <w:r>
        <w:t>конф</w:t>
      </w:r>
      <w:proofErr w:type="spellEnd"/>
      <w:r>
        <w:t xml:space="preserve">. с </w:t>
      </w:r>
      <w:proofErr w:type="spellStart"/>
      <w:r>
        <w:t>междунар</w:t>
      </w:r>
      <w:proofErr w:type="spellEnd"/>
      <w:r>
        <w:t xml:space="preserve">. участием. Киров, 2016. С. 25–28. </w:t>
      </w:r>
    </w:p>
    <w:p w:rsidR="00961749" w:rsidRDefault="00961749" w:rsidP="00961749">
      <w:pPr>
        <w:spacing w:after="0"/>
        <w:ind w:firstLine="709"/>
        <w:jc w:val="both"/>
        <w:rPr>
          <w:b/>
          <w:bCs/>
        </w:rPr>
      </w:pPr>
      <w:r w:rsidRPr="00315B98">
        <w:t>3</w:t>
      </w:r>
      <w:r>
        <w:t>.</w:t>
      </w:r>
      <w:r w:rsidRPr="00315B98">
        <w:t xml:space="preserve"> </w:t>
      </w:r>
      <w:r>
        <w:t>Ворон, П.Г. Организационные и методические основы внедрения Государственного физкультурно-оздоровительного комплекса Республики Беларусь в практику работы организаций: методические рекомендации / П.Г.</w:t>
      </w:r>
      <w:bookmarkStart w:id="26" w:name="_Hlk162699177"/>
      <w:r>
        <w:t xml:space="preserve"> Ворон,</w:t>
      </w:r>
      <w:bookmarkEnd w:id="26"/>
      <w:r>
        <w:t xml:space="preserve"> В.Ф. </w:t>
      </w:r>
      <w:proofErr w:type="spellStart"/>
      <w:r>
        <w:t>Касач</w:t>
      </w:r>
      <w:proofErr w:type="spellEnd"/>
      <w:r>
        <w:t xml:space="preserve"> – Минск: Республиканский учебно-методический центр физического воспитания населения, 2016. – 84 с.</w:t>
      </w:r>
    </w:p>
    <w:p w:rsidR="00961749" w:rsidRPr="00315B98" w:rsidRDefault="00961749" w:rsidP="00961749">
      <w:pPr>
        <w:spacing w:after="0"/>
        <w:ind w:firstLine="709"/>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49"/>
    <w:rsid w:val="006C0B77"/>
    <w:rsid w:val="008242FF"/>
    <w:rsid w:val="00870751"/>
    <w:rsid w:val="00922C48"/>
    <w:rsid w:val="0096174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D769"/>
  <w15:chartTrackingRefBased/>
  <w15:docId w15:val="{5BF01F4A-FC57-4392-9FE3-77492F18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74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DC8E-4545-8272-D0CAE0732E3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DC8E-4545-8272-D0CAE0732E3F}"/>
              </c:ext>
            </c:extLst>
          </c:dPt>
          <c:dLbls>
            <c:dLbl>
              <c:idx val="0"/>
              <c:layout>
                <c:manualLayout>
                  <c:x val="-0.25542768273716943"/>
                  <c:y val="-0.185210262208971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8E-4545-8272-D0CAE0732E3F}"/>
                </c:ext>
              </c:extLst>
            </c:dLbl>
            <c:dLbl>
              <c:idx val="1"/>
              <c:layout>
                <c:manualLayout>
                  <c:x val="0.17995289469065201"/>
                  <c:y val="5.7384212136165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8E-4545-8272-D0CAE0732E3F}"/>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Лист1!$B$1:$C$1</c:f>
              <c:strCache>
                <c:ptCount val="2"/>
                <c:pt idx="0">
                  <c:v>Да</c:v>
                </c:pt>
                <c:pt idx="1">
                  <c:v>Нет</c:v>
                </c:pt>
              </c:strCache>
            </c:strRef>
          </c:cat>
          <c:val>
            <c:numRef>
              <c:f>Лист1!$B$2:$C$2</c:f>
              <c:numCache>
                <c:formatCode>0.0%</c:formatCode>
                <c:ptCount val="2"/>
                <c:pt idx="0">
                  <c:v>0.625</c:v>
                </c:pt>
                <c:pt idx="1">
                  <c:v>0.375</c:v>
                </c:pt>
              </c:numCache>
            </c:numRef>
          </c:val>
          <c:extLst>
            <c:ext xmlns:c16="http://schemas.microsoft.com/office/drawing/2014/chart" uri="{C3380CC4-5D6E-409C-BE32-E72D297353CC}">
              <c16:uniqueId val="{00000004-DC8E-4545-8272-D0CAE0732E3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177367409167167"/>
          <c:y val="0.86499400771343882"/>
          <c:w val="0.16452635488993114"/>
          <c:h val="9.820131290221362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76452584701291E-2"/>
          <c:y val="9.3429895007921857E-2"/>
          <c:w val="0.90206241416032718"/>
          <c:h val="0.78534189795227161"/>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B7-48BC-9011-DBECD768FDFE}"/>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B7-48BC-9011-DBECD768FDFE}"/>
              </c:ext>
            </c:extLst>
          </c:dPt>
          <c:dLbls>
            <c:dLbl>
              <c:idx val="0"/>
              <c:layout>
                <c:manualLayout>
                  <c:x val="-0.2287681885036347"/>
                  <c:y val="-0.20712238030976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B7-48BC-9011-DBECD768FDFE}"/>
                </c:ext>
              </c:extLst>
            </c:dLbl>
            <c:dLbl>
              <c:idx val="1"/>
              <c:layout>
                <c:manualLayout>
                  <c:x val="0.190190063111778"/>
                  <c:y val="7.6014925169682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B7-48BC-9011-DBECD768FDF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Лист1!$B$79:$C$79</c:f>
              <c:strCache>
                <c:ptCount val="2"/>
                <c:pt idx="0">
                  <c:v>Да</c:v>
                </c:pt>
                <c:pt idx="1">
                  <c:v>Нет</c:v>
                </c:pt>
              </c:strCache>
            </c:strRef>
          </c:cat>
          <c:val>
            <c:numRef>
              <c:f>Лист1!$B$80:$C$80</c:f>
              <c:numCache>
                <c:formatCode>0.0%</c:formatCode>
                <c:ptCount val="2"/>
                <c:pt idx="0">
                  <c:v>0.68200000000000005</c:v>
                </c:pt>
                <c:pt idx="1">
                  <c:v>0.318</c:v>
                </c:pt>
              </c:numCache>
            </c:numRef>
          </c:val>
          <c:extLst>
            <c:ext xmlns:c16="http://schemas.microsoft.com/office/drawing/2014/chart" uri="{C3380CC4-5D6E-409C-BE32-E72D297353CC}">
              <c16:uniqueId val="{00000004-E4B7-48BC-9011-DBECD768FDF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50617497264251E-2"/>
          <c:y val="9.3507398615435194E-2"/>
          <c:w val="0.89380890084664177"/>
          <c:h val="0.77844230020768734"/>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E2-4B7D-B742-6A9C4501F27A}"/>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E2-4B7D-B742-6A9C4501F27A}"/>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63E2-4B7D-B742-6A9C4501F27A}"/>
              </c:ext>
            </c:extLst>
          </c:dPt>
          <c:dLbls>
            <c:dLbl>
              <c:idx val="0"/>
              <c:layout>
                <c:manualLayout>
                  <c:x val="-0.27375558462715666"/>
                  <c:y val="-0.13138097239095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E2-4B7D-B742-6A9C4501F27A}"/>
                </c:ext>
              </c:extLst>
            </c:dLbl>
            <c:dLbl>
              <c:idx val="1"/>
              <c:layout>
                <c:manualLayout>
                  <c:x val="0.12648927504751561"/>
                  <c:y val="-0.27781829209676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E2-4B7D-B742-6A9C4501F27A}"/>
                </c:ext>
              </c:extLst>
            </c:dLbl>
            <c:dLbl>
              <c:idx val="2"/>
              <c:layout>
                <c:manualLayout>
                  <c:x val="0.19584676523585023"/>
                  <c:y val="6.6664406624656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E2-4B7D-B742-6A9C4501F27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Лист1!$B$130:$D$130</c:f>
              <c:strCache>
                <c:ptCount val="3"/>
                <c:pt idx="0">
                  <c:v>Да</c:v>
                </c:pt>
                <c:pt idx="1">
                  <c:v>Нет</c:v>
                </c:pt>
                <c:pt idx="2">
                  <c:v>Затрудняюсь ответить</c:v>
                </c:pt>
              </c:strCache>
            </c:strRef>
          </c:cat>
          <c:val>
            <c:numRef>
              <c:f>Лист1!$B$131:$D$131</c:f>
              <c:numCache>
                <c:formatCode>0.0%</c:formatCode>
                <c:ptCount val="3"/>
                <c:pt idx="0">
                  <c:v>0.52800000000000002</c:v>
                </c:pt>
                <c:pt idx="1">
                  <c:v>0.125</c:v>
                </c:pt>
                <c:pt idx="2">
                  <c:v>0.34699999999999998</c:v>
                </c:pt>
              </c:numCache>
            </c:numRef>
          </c:val>
          <c:extLst>
            <c:ext xmlns:c16="http://schemas.microsoft.com/office/drawing/2014/chart" uri="{C3380CC4-5D6E-409C-BE32-E72D297353CC}">
              <c16:uniqueId val="{00000006-63E2-4B7D-B742-6A9C4501F27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6</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2025-01-16T12:57:00Z</dcterms:created>
  <dcterms:modified xsi:type="dcterms:W3CDTF">2025-01-16T13:01:00Z</dcterms:modified>
</cp:coreProperties>
</file>