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81" w:rsidRPr="00D45A81" w:rsidRDefault="00D45A81" w:rsidP="00D45A81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A81">
        <w:rPr>
          <w:rFonts w:ascii="Times New Roman" w:hAnsi="Times New Roman" w:cs="Times New Roman"/>
          <w:b/>
          <w:sz w:val="28"/>
          <w:szCs w:val="28"/>
        </w:rPr>
        <w:t xml:space="preserve">ПОДВИЖНЫЕ И СПОРТИВНЫЕ ИГРЫ </w:t>
      </w:r>
    </w:p>
    <w:p w:rsidR="00D45A81" w:rsidRPr="00D45A81" w:rsidRDefault="00D45A81" w:rsidP="00D45A81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A81">
        <w:rPr>
          <w:rFonts w:ascii="Times New Roman" w:hAnsi="Times New Roman" w:cs="Times New Roman"/>
          <w:b/>
          <w:sz w:val="28"/>
          <w:szCs w:val="28"/>
        </w:rPr>
        <w:t>В ПОДГОТОВКЕ СПЕЦИАЛИСТОВ ФИЗИЧЕСКОЙ КУЛЬТУРЫ</w:t>
      </w:r>
    </w:p>
    <w:p w:rsidR="00D45A81" w:rsidRPr="00D45A81" w:rsidRDefault="00D45A81" w:rsidP="00D45A81">
      <w:pPr>
        <w:suppressAutoHyphens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5A81">
        <w:rPr>
          <w:rFonts w:ascii="Times New Roman" w:hAnsi="Times New Roman" w:cs="Times New Roman"/>
          <w:i/>
          <w:sz w:val="28"/>
          <w:szCs w:val="28"/>
        </w:rPr>
        <w:t xml:space="preserve">Огородников С.С., </w:t>
      </w:r>
      <w:proofErr w:type="spellStart"/>
      <w:r w:rsidRPr="00D45A81">
        <w:rPr>
          <w:rFonts w:ascii="Times New Roman" w:hAnsi="Times New Roman" w:cs="Times New Roman"/>
          <w:i/>
          <w:sz w:val="28"/>
          <w:szCs w:val="28"/>
        </w:rPr>
        <w:t>Когут</w:t>
      </w:r>
      <w:proofErr w:type="spellEnd"/>
      <w:r w:rsidRPr="00D45A81">
        <w:rPr>
          <w:rFonts w:ascii="Times New Roman" w:hAnsi="Times New Roman" w:cs="Times New Roman"/>
          <w:i/>
          <w:sz w:val="28"/>
          <w:szCs w:val="28"/>
        </w:rPr>
        <w:t xml:space="preserve"> А.М.</w:t>
      </w:r>
    </w:p>
    <w:p w:rsidR="00D45A81" w:rsidRPr="00D45A81" w:rsidRDefault="00D45A81" w:rsidP="00D45A81">
      <w:pPr>
        <w:suppressAutoHyphens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45A81">
        <w:rPr>
          <w:rFonts w:ascii="Times New Roman" w:hAnsi="Times New Roman" w:cs="Times New Roman"/>
          <w:i/>
          <w:sz w:val="28"/>
          <w:szCs w:val="28"/>
        </w:rPr>
        <w:t>г</w:t>
      </w:r>
      <w:r w:rsidRPr="00D45A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D45A81">
        <w:rPr>
          <w:rFonts w:ascii="Times New Roman" w:hAnsi="Times New Roman" w:cs="Times New Roman"/>
          <w:i/>
          <w:sz w:val="28"/>
          <w:szCs w:val="28"/>
        </w:rPr>
        <w:t>Минск</w:t>
      </w:r>
      <w:r w:rsidRPr="00D45A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D45A81">
        <w:rPr>
          <w:rFonts w:ascii="Times New Roman" w:hAnsi="Times New Roman" w:cs="Times New Roman"/>
          <w:i/>
          <w:sz w:val="28"/>
          <w:szCs w:val="28"/>
        </w:rPr>
        <w:t>Беларусь</w:t>
      </w:r>
    </w:p>
    <w:p w:rsidR="00D45A81" w:rsidRPr="00D45A81" w:rsidRDefault="00D45A81" w:rsidP="00D45A81">
      <w:pPr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45A81" w:rsidRPr="00D45A81" w:rsidRDefault="00D45A81" w:rsidP="00D45A81">
      <w:pPr>
        <w:suppressAutoHyphens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D45A8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Professional training of specialists of the physical culture is determined by the level of development of the school subject «Physical culture and health» in the secondary school</w:t>
      </w:r>
    </w:p>
    <w:p w:rsidR="00D45A81" w:rsidRPr="00D45A81" w:rsidRDefault="00D45A81" w:rsidP="00D45A81">
      <w:pPr>
        <w:suppressAutoHyphens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45A81" w:rsidRPr="00D45A81" w:rsidRDefault="00D45A81" w:rsidP="00D45A8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81">
        <w:rPr>
          <w:rFonts w:ascii="Times New Roman" w:hAnsi="Times New Roman" w:cs="Times New Roman"/>
          <w:sz w:val="28"/>
          <w:szCs w:val="28"/>
        </w:rPr>
        <w:t>Подготовка специалистов по физической культуре с учетом современных социально-экономических условий постоянно совершенствуется, развиваясь и подвергаясь модернизации. Одним из факторов, влияющих на эффективность этого процесса, является предварительная подготовленность учащихся-выпускников средних учебных заведений, поступивших на первый курс высших учебных заведений. Мониторинг исходного уровня объема знаний, умений, двигательных навыков первокурсников в области физической культуры позволяет определить направления, условия, подобрать нужную педагогическую стратегию, индивидуализировать или дифференцировать процесс подготовки упомянутых специалистов.</w:t>
      </w:r>
    </w:p>
    <w:p w:rsidR="00D45A81" w:rsidRPr="00D45A81" w:rsidRDefault="00D45A81" w:rsidP="00D45A8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81">
        <w:rPr>
          <w:rFonts w:ascii="Times New Roman" w:hAnsi="Times New Roman" w:cs="Times New Roman"/>
          <w:sz w:val="28"/>
          <w:szCs w:val="28"/>
        </w:rPr>
        <w:t>Немаловажное значение в нем имеет степень овладения объемом необходимых в дальнейшей работе сведений об использовании подвижных игр в образовательном процессе дошкольников, учащихся средних школ, студентов вузов. Известно, что игры в отечественной педагогике рассматриваются как основное средство, метод и форма обучения, воспитания и развития занимающихся, а игровая деятельность является доминирующей у дошкольников [1,2,3].</w:t>
      </w:r>
    </w:p>
    <w:p w:rsidR="00D45A81" w:rsidRPr="00D45A81" w:rsidRDefault="00D45A81" w:rsidP="00D45A8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81">
        <w:rPr>
          <w:rFonts w:ascii="Times New Roman" w:hAnsi="Times New Roman" w:cs="Times New Roman"/>
          <w:sz w:val="28"/>
          <w:szCs w:val="28"/>
        </w:rPr>
        <w:t xml:space="preserve">В процессе освоения студентами игры, методики ее применения происходит не только овладение профессиональными умениями, но и формирование личности будущего педагога – специалиста по физической культуре, приучает его владеть собой. Игра развивает у </w:t>
      </w:r>
      <w:proofErr w:type="gramStart"/>
      <w:r w:rsidRPr="00D45A81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D45A81">
        <w:rPr>
          <w:rFonts w:ascii="Times New Roman" w:hAnsi="Times New Roman" w:cs="Times New Roman"/>
          <w:sz w:val="28"/>
          <w:szCs w:val="28"/>
        </w:rPr>
        <w:t xml:space="preserve"> интеллектуальные, физические качества, повышает творческий потенциал. Образовательное, воспитательное и оздоровительное воздействие на </w:t>
      </w:r>
      <w:proofErr w:type="gramStart"/>
      <w:r w:rsidRPr="00D45A81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D45A81">
        <w:rPr>
          <w:rFonts w:ascii="Times New Roman" w:hAnsi="Times New Roman" w:cs="Times New Roman"/>
          <w:sz w:val="28"/>
          <w:szCs w:val="28"/>
        </w:rPr>
        <w:t xml:space="preserve"> будет эффективным только тогда, когда игру будет проводить педагог, профессионально готовый к реализации потенциала игры.</w:t>
      </w:r>
    </w:p>
    <w:p w:rsidR="00D45A81" w:rsidRPr="00D45A81" w:rsidRDefault="00D45A81" w:rsidP="00D45A8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81">
        <w:rPr>
          <w:rFonts w:ascii="Times New Roman" w:hAnsi="Times New Roman" w:cs="Times New Roman"/>
          <w:sz w:val="28"/>
          <w:szCs w:val="28"/>
        </w:rPr>
        <w:lastRenderedPageBreak/>
        <w:t>Отсюда, целью предлагаемой работы является определение объема сведений о подвижных играх у первокурсников, приступивших к овладению профессии специалиста физической культуры. Для решения вытекающих из цели задач было опрошено 48 студентов-первокурсников факультета физического воспитания БГПУ.</w:t>
      </w:r>
    </w:p>
    <w:p w:rsidR="00D45A81" w:rsidRPr="00D45A81" w:rsidRDefault="00D45A81" w:rsidP="00D45A8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81">
        <w:rPr>
          <w:rFonts w:ascii="Times New Roman" w:hAnsi="Times New Roman" w:cs="Times New Roman"/>
          <w:sz w:val="28"/>
          <w:szCs w:val="28"/>
        </w:rPr>
        <w:t xml:space="preserve">Студентам было предложено в течение 5 минут, не указывая своей фамилии, написать названия 10 подвижных игр. </w:t>
      </w:r>
      <w:proofErr w:type="gramStart"/>
      <w:r w:rsidRPr="00D45A81">
        <w:rPr>
          <w:rFonts w:ascii="Times New Roman" w:hAnsi="Times New Roman" w:cs="Times New Roman"/>
          <w:sz w:val="28"/>
          <w:szCs w:val="28"/>
        </w:rPr>
        <w:t>В результате анализа листков ответов письменного опроса выявлено, что только 2 человека написали названия 10 подвижных игр, что составляет 4,2%. 22 студента (45,8%) написали 10 названий, однако указали в своих листках: 1 студент только спортивные игры, подвижные и спортивные игры – 5 человек, спортивные игры и другие виды спорта – 10 человек, подвижные, спортивные игры и другие виды спорта – 3 студента, подвижные</w:t>
      </w:r>
      <w:proofErr w:type="gramEnd"/>
      <w:r w:rsidRPr="00D45A81">
        <w:rPr>
          <w:rFonts w:ascii="Times New Roman" w:hAnsi="Times New Roman" w:cs="Times New Roman"/>
          <w:sz w:val="28"/>
          <w:szCs w:val="28"/>
        </w:rPr>
        <w:t xml:space="preserve"> игры и другие виды спорта – 1 человек.</w:t>
      </w:r>
    </w:p>
    <w:p w:rsidR="00D45A81" w:rsidRPr="00D45A81" w:rsidRDefault="00D45A81" w:rsidP="00D45A8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81">
        <w:rPr>
          <w:rFonts w:ascii="Times New Roman" w:hAnsi="Times New Roman" w:cs="Times New Roman"/>
          <w:sz w:val="28"/>
          <w:szCs w:val="28"/>
        </w:rPr>
        <w:t>Названия 9 подвижных игр указал 1 студент, восьми – 2 студента, семь – 1 студент, 4 подвижных игры – 1 студент, 3 подвижные игры – 1 студент. Остальные участники опроса указали от 5 до 8 подвижных игр вместе со спортивными играми и другими видами спорта.</w:t>
      </w:r>
    </w:p>
    <w:p w:rsidR="00D45A81" w:rsidRPr="00D45A81" w:rsidRDefault="00D45A81" w:rsidP="00D45A8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81">
        <w:rPr>
          <w:rFonts w:ascii="Times New Roman" w:hAnsi="Times New Roman" w:cs="Times New Roman"/>
          <w:sz w:val="28"/>
          <w:szCs w:val="28"/>
        </w:rPr>
        <w:t xml:space="preserve">Отмеченное свидетельствует, что в средних общеобразовательных школах учащиеся недостаточно усваивают учебный материал подвижных игр. Можно предположить, что используемые на уроках физической культуры и здоровья подвижные игры решают задачи только физической подготовки, не акцентируя внимание учащихся на знании их содержания. </w:t>
      </w:r>
      <w:proofErr w:type="gramStart"/>
      <w:r w:rsidRPr="00D45A81">
        <w:rPr>
          <w:rFonts w:ascii="Times New Roman" w:hAnsi="Times New Roman" w:cs="Times New Roman"/>
          <w:sz w:val="28"/>
          <w:szCs w:val="28"/>
        </w:rPr>
        <w:t>В связи с указанным, учебный процесс по освоению учебной дисциплины «Спортивные и подвижные игры и методика преподавания» необходимо скорректировать, нацелив его на понимании студентами различий между подвижными и спортивными играми, а тем более – другими видами спорта.</w:t>
      </w:r>
      <w:proofErr w:type="gramEnd"/>
      <w:r w:rsidRPr="00D45A81">
        <w:rPr>
          <w:rFonts w:ascii="Times New Roman" w:hAnsi="Times New Roman" w:cs="Times New Roman"/>
          <w:sz w:val="28"/>
          <w:szCs w:val="28"/>
        </w:rPr>
        <w:t xml:space="preserve"> Учитывая, что в требованиях к уровню подготовленности учащихся, оканчивающих начальную школу, указано, что они должны уметь играть не менее</w:t>
      </w:r>
      <w:proofErr w:type="gramStart"/>
      <w:r w:rsidRPr="00D45A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5A81">
        <w:rPr>
          <w:rFonts w:ascii="Times New Roman" w:hAnsi="Times New Roman" w:cs="Times New Roman"/>
          <w:sz w:val="28"/>
          <w:szCs w:val="28"/>
        </w:rPr>
        <w:t xml:space="preserve"> чем в 12 изученных подвижных игр, студентам необходимо освоить большее разнообразие подвижных игр, применяемых как в дошкольных, так и в средних и высших учебных заведениях.</w:t>
      </w:r>
    </w:p>
    <w:p w:rsidR="00D45A81" w:rsidRPr="00D45A81" w:rsidRDefault="00D45A81" w:rsidP="00D45A8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81">
        <w:rPr>
          <w:rFonts w:ascii="Times New Roman" w:hAnsi="Times New Roman" w:cs="Times New Roman"/>
          <w:sz w:val="28"/>
          <w:szCs w:val="28"/>
        </w:rPr>
        <w:t>Ранее проведенными исследованиями показано, что студенты – первокурсники недостаточно владеют приемами игры в баскетбол: только 11% студентов получили отличные оценки, 34% получили удовлетворительные оценки в штрафных и бросках со средних дистанций.</w:t>
      </w:r>
    </w:p>
    <w:p w:rsidR="00D45A81" w:rsidRPr="00D45A81" w:rsidRDefault="00D45A81" w:rsidP="00D45A8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81">
        <w:rPr>
          <w:rFonts w:ascii="Times New Roman" w:hAnsi="Times New Roman" w:cs="Times New Roman"/>
          <w:sz w:val="28"/>
          <w:szCs w:val="28"/>
        </w:rPr>
        <w:lastRenderedPageBreak/>
        <w:t xml:space="preserve">Только 12% опрошенных первокурсников сдавали выпускной экзамен по физической культуре, хотя 77% опрошенных считают проведение такого экзамена правильным и необходимым. Среди причин неучастия большинства студентов в профильном для них экзамене 68% ответили, что у них в школе такой экзамен не был предусмотрен. Остальные выпускники сдавали другой экзамен по выбору, так как по другим учебным предметам они посчитали себя более </w:t>
      </w:r>
      <w:proofErr w:type="gramStart"/>
      <w:r w:rsidRPr="00D45A81">
        <w:rPr>
          <w:rFonts w:ascii="Times New Roman" w:hAnsi="Times New Roman" w:cs="Times New Roman"/>
          <w:sz w:val="28"/>
          <w:szCs w:val="28"/>
        </w:rPr>
        <w:t>подготовленными</w:t>
      </w:r>
      <w:proofErr w:type="gramEnd"/>
      <w:r w:rsidRPr="00D45A81">
        <w:rPr>
          <w:rFonts w:ascii="Times New Roman" w:hAnsi="Times New Roman" w:cs="Times New Roman"/>
          <w:sz w:val="28"/>
          <w:szCs w:val="28"/>
        </w:rPr>
        <w:t>.</w:t>
      </w:r>
    </w:p>
    <w:p w:rsidR="00D45A81" w:rsidRPr="00D45A81" w:rsidRDefault="00D45A81" w:rsidP="00D45A8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81">
        <w:rPr>
          <w:rFonts w:ascii="Times New Roman" w:hAnsi="Times New Roman" w:cs="Times New Roman"/>
          <w:sz w:val="28"/>
          <w:szCs w:val="28"/>
        </w:rPr>
        <w:t>Выводы:</w:t>
      </w:r>
    </w:p>
    <w:p w:rsidR="00D45A81" w:rsidRPr="00D45A81" w:rsidRDefault="00D45A81" w:rsidP="00D45A8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81">
        <w:rPr>
          <w:rFonts w:ascii="Times New Roman" w:hAnsi="Times New Roman" w:cs="Times New Roman"/>
          <w:sz w:val="28"/>
          <w:szCs w:val="28"/>
        </w:rPr>
        <w:t>1. Невысокие показатели знаний по подвижным играм и двигательных умений по баскетболу у большинства недавних школьников свидетельствует о низком уровне стартовых позиций профессиональной готовности.</w:t>
      </w:r>
    </w:p>
    <w:p w:rsidR="00D45A81" w:rsidRPr="00D45A81" w:rsidRDefault="00D45A81" w:rsidP="00D45A8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81">
        <w:rPr>
          <w:rFonts w:ascii="Times New Roman" w:hAnsi="Times New Roman" w:cs="Times New Roman"/>
          <w:sz w:val="28"/>
          <w:szCs w:val="28"/>
        </w:rPr>
        <w:t>2. Доведение результатов проведенного исследования до сведения первокурсников и осознание ими такого состояния должно послужить стимулом для изменения отношения студентов к освоению в университете знаний и умений учебной дисциплины «Спортивные и подвижные игры и методика преподавания».</w:t>
      </w:r>
    </w:p>
    <w:p w:rsidR="00D45A81" w:rsidRPr="00D45A81" w:rsidRDefault="00D45A81" w:rsidP="00D45A81">
      <w:pPr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A81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D45A81" w:rsidRPr="00D45A81" w:rsidRDefault="00D45A81" w:rsidP="00D45A8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81">
        <w:rPr>
          <w:rFonts w:ascii="Times New Roman" w:hAnsi="Times New Roman" w:cs="Times New Roman"/>
          <w:sz w:val="28"/>
          <w:szCs w:val="28"/>
        </w:rPr>
        <w:t>1. Геллер, Е.М. Подвижные игры в спортивной подготовке студентов. Минск, «</w:t>
      </w:r>
      <w:proofErr w:type="spellStart"/>
      <w:r w:rsidRPr="00D45A81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D45A81">
        <w:rPr>
          <w:rFonts w:ascii="Times New Roman" w:hAnsi="Times New Roman" w:cs="Times New Roman"/>
          <w:sz w:val="28"/>
          <w:szCs w:val="28"/>
        </w:rPr>
        <w:t xml:space="preserve"> школа», 1977.</w:t>
      </w:r>
    </w:p>
    <w:p w:rsidR="00D45A81" w:rsidRPr="00D45A81" w:rsidRDefault="00D45A81" w:rsidP="00D45A8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8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45A81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Pr="00D45A81">
        <w:rPr>
          <w:rFonts w:ascii="Times New Roman" w:hAnsi="Times New Roman" w:cs="Times New Roman"/>
          <w:sz w:val="28"/>
          <w:szCs w:val="28"/>
        </w:rPr>
        <w:t xml:space="preserve">, В.Н. Теория и методика физического воспитания детей дошкольного возраста. – </w:t>
      </w:r>
      <w:proofErr w:type="spellStart"/>
      <w:r w:rsidRPr="00D45A81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D45A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45A81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D45A8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45A81">
        <w:rPr>
          <w:rFonts w:ascii="Times New Roman" w:hAnsi="Times New Roman" w:cs="Times New Roman"/>
          <w:sz w:val="28"/>
          <w:szCs w:val="28"/>
        </w:rPr>
        <w:t>В.Н.Шебеко</w:t>
      </w:r>
      <w:proofErr w:type="spellEnd"/>
      <w:r w:rsidRPr="00D45A81">
        <w:rPr>
          <w:rFonts w:ascii="Times New Roman" w:hAnsi="Times New Roman" w:cs="Times New Roman"/>
          <w:sz w:val="28"/>
          <w:szCs w:val="28"/>
        </w:rPr>
        <w:t xml:space="preserve">. Минск: </w:t>
      </w:r>
      <w:proofErr w:type="spellStart"/>
      <w:r w:rsidRPr="00D45A81">
        <w:rPr>
          <w:rFonts w:ascii="Times New Roman" w:hAnsi="Times New Roman" w:cs="Times New Roman"/>
          <w:sz w:val="28"/>
          <w:szCs w:val="28"/>
        </w:rPr>
        <w:t>Высш.шк</w:t>
      </w:r>
      <w:proofErr w:type="spellEnd"/>
      <w:r w:rsidRPr="00D45A81">
        <w:rPr>
          <w:rFonts w:ascii="Times New Roman" w:hAnsi="Times New Roman" w:cs="Times New Roman"/>
          <w:sz w:val="28"/>
          <w:szCs w:val="28"/>
        </w:rPr>
        <w:t>., 2010.</w:t>
      </w:r>
    </w:p>
    <w:p w:rsidR="00D45A81" w:rsidRPr="00D45A81" w:rsidRDefault="00D45A81" w:rsidP="00D45A8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81">
        <w:rPr>
          <w:rFonts w:ascii="Times New Roman" w:hAnsi="Times New Roman" w:cs="Times New Roman"/>
          <w:sz w:val="28"/>
          <w:szCs w:val="28"/>
        </w:rPr>
        <w:t xml:space="preserve">3. Шишкина, В.А. Подвижные игры для детей дошкольного возраста: </w:t>
      </w:r>
      <w:proofErr w:type="spellStart"/>
      <w:r w:rsidRPr="00D45A81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D45A81">
        <w:rPr>
          <w:rFonts w:ascii="Times New Roman" w:hAnsi="Times New Roman" w:cs="Times New Roman"/>
          <w:sz w:val="28"/>
          <w:szCs w:val="28"/>
        </w:rPr>
        <w:t xml:space="preserve">. для педагогов учреждений </w:t>
      </w:r>
      <w:proofErr w:type="spellStart"/>
      <w:r w:rsidRPr="00D45A81">
        <w:rPr>
          <w:rFonts w:ascii="Times New Roman" w:hAnsi="Times New Roman" w:cs="Times New Roman"/>
          <w:sz w:val="28"/>
          <w:szCs w:val="28"/>
        </w:rPr>
        <w:t>дошк</w:t>
      </w:r>
      <w:proofErr w:type="gramStart"/>
      <w:r w:rsidRPr="00D45A8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45A81">
        <w:rPr>
          <w:rFonts w:ascii="Times New Roman" w:hAnsi="Times New Roman" w:cs="Times New Roman"/>
          <w:sz w:val="28"/>
          <w:szCs w:val="28"/>
        </w:rPr>
        <w:t>бразования</w:t>
      </w:r>
      <w:proofErr w:type="spellEnd"/>
      <w:r w:rsidRPr="00D45A81">
        <w:rPr>
          <w:rFonts w:ascii="Times New Roman" w:hAnsi="Times New Roman" w:cs="Times New Roman"/>
          <w:sz w:val="28"/>
          <w:szCs w:val="28"/>
        </w:rPr>
        <w:t xml:space="preserve"> / В.А.Шишкина, </w:t>
      </w:r>
      <w:proofErr w:type="spellStart"/>
      <w:r w:rsidRPr="00D45A81">
        <w:rPr>
          <w:rFonts w:ascii="Times New Roman" w:hAnsi="Times New Roman" w:cs="Times New Roman"/>
          <w:sz w:val="28"/>
          <w:szCs w:val="28"/>
        </w:rPr>
        <w:t>М.Н.Дедулевич</w:t>
      </w:r>
      <w:proofErr w:type="spellEnd"/>
      <w:r w:rsidRPr="00D45A81">
        <w:rPr>
          <w:rFonts w:ascii="Times New Roman" w:hAnsi="Times New Roman" w:cs="Times New Roman"/>
          <w:sz w:val="28"/>
          <w:szCs w:val="28"/>
        </w:rPr>
        <w:t>. – Минск: НИО, 2012.</w:t>
      </w:r>
    </w:p>
    <w:p w:rsidR="004541CA" w:rsidRPr="00D45A81" w:rsidRDefault="004541CA" w:rsidP="00D45A81">
      <w:pPr>
        <w:rPr>
          <w:rFonts w:ascii="Times New Roman" w:hAnsi="Times New Roman" w:cs="Times New Roman"/>
          <w:sz w:val="28"/>
          <w:szCs w:val="28"/>
        </w:rPr>
      </w:pPr>
    </w:p>
    <w:sectPr w:rsidR="004541CA" w:rsidRPr="00D45A81" w:rsidSect="00AB4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B4CFA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B4CFA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B4CFA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0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9"/>
  </w:num>
  <w:num w:numId="15">
    <w:abstractNumId w:val="12"/>
  </w:num>
  <w:num w:numId="16">
    <w:abstractNumId w:val="39"/>
  </w:num>
  <w:num w:numId="17">
    <w:abstractNumId w:val="42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41"/>
  </w:num>
  <w:num w:numId="22">
    <w:abstractNumId w:val="22"/>
  </w:num>
  <w:num w:numId="23">
    <w:abstractNumId w:val="4"/>
  </w:num>
  <w:num w:numId="24">
    <w:abstractNumId w:val="28"/>
  </w:num>
  <w:num w:numId="25">
    <w:abstractNumId w:val="16"/>
  </w:num>
  <w:num w:numId="26">
    <w:abstractNumId w:val="1"/>
  </w:num>
  <w:num w:numId="27">
    <w:abstractNumId w:val="7"/>
  </w:num>
  <w:num w:numId="28">
    <w:abstractNumId w:val="15"/>
  </w:num>
  <w:num w:numId="29">
    <w:abstractNumId w:val="27"/>
  </w:num>
  <w:num w:numId="30">
    <w:abstractNumId w:val="18"/>
  </w:num>
  <w:num w:numId="31">
    <w:abstractNumId w:val="37"/>
  </w:num>
  <w:num w:numId="32">
    <w:abstractNumId w:val="11"/>
  </w:num>
  <w:num w:numId="3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6"/>
  </w:num>
  <w:num w:numId="37">
    <w:abstractNumId w:val="31"/>
  </w:num>
  <w:num w:numId="38">
    <w:abstractNumId w:val="40"/>
  </w:num>
  <w:num w:numId="39">
    <w:abstractNumId w:val="38"/>
    <w:lvlOverride w:ilvl="0">
      <w:startOverride w:val="1"/>
    </w:lvlOverride>
  </w:num>
  <w:num w:numId="40">
    <w:abstractNumId w:val="6"/>
  </w:num>
  <w:num w:numId="41">
    <w:abstractNumId w:val="34"/>
  </w:num>
  <w:num w:numId="42">
    <w:abstractNumId w:val="19"/>
  </w:num>
  <w:num w:numId="43">
    <w:abstractNumId w:val="21"/>
  </w:num>
  <w:num w:numId="44">
    <w:abstractNumId w:val="23"/>
  </w:num>
  <w:num w:numId="45">
    <w:abstractNumId w:val="14"/>
  </w:num>
  <w:num w:numId="46">
    <w:abstractNumId w:val="24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E3E4A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B4CFA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D16D27"/>
    <w:rsid w:val="00D218CE"/>
    <w:rsid w:val="00D45A81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22561A-000D-4715-A018-47F55E9F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2015-09-22T15:25:00Z</dcterms:created>
  <dcterms:modified xsi:type="dcterms:W3CDTF">2015-09-22T15:25:00Z</dcterms:modified>
</cp:coreProperties>
</file>