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F5" w:rsidRDefault="00236F21" w:rsidP="00865EE8">
      <w:pPr>
        <w:framePr w:wrap="notBeside" w:vAnchor="text" w:hAnchor="page" w:x="5146" w:y="-1188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47.75pt">
            <v:imagedata r:id="rId7" r:href="rId8"/>
          </v:shape>
        </w:pict>
      </w:r>
    </w:p>
    <w:p w:rsidR="009118F5" w:rsidRDefault="009118F5">
      <w:pPr>
        <w:rPr>
          <w:sz w:val="2"/>
          <w:szCs w:val="2"/>
        </w:rPr>
      </w:pPr>
    </w:p>
    <w:p w:rsidR="009118F5" w:rsidRDefault="00236F21">
      <w:pPr>
        <w:pStyle w:val="1"/>
        <w:shd w:val="clear" w:color="auto" w:fill="auto"/>
        <w:spacing w:before="276" w:after="0" w:line="270" w:lineRule="exact"/>
        <w:ind w:left="4700"/>
      </w:pPr>
      <w:r>
        <w:t>АКТ</w:t>
      </w:r>
    </w:p>
    <w:p w:rsidR="009118F5" w:rsidRDefault="00236F21">
      <w:pPr>
        <w:pStyle w:val="1"/>
        <w:shd w:val="clear" w:color="auto" w:fill="auto"/>
        <w:spacing w:after="204" w:line="270" w:lineRule="exact"/>
        <w:ind w:left="3200"/>
      </w:pPr>
      <w:r>
        <w:t>о внедрении результатов НИР</w:t>
      </w:r>
    </w:p>
    <w:p w:rsidR="009118F5" w:rsidRDefault="00236F21" w:rsidP="00865EE8">
      <w:pPr>
        <w:pStyle w:val="1"/>
        <w:shd w:val="clear" w:color="auto" w:fill="auto"/>
        <w:spacing w:after="0" w:line="317" w:lineRule="exact"/>
        <w:ind w:left="20" w:right="200" w:firstLine="720"/>
        <w:jc w:val="both"/>
      </w:pPr>
      <w:r>
        <w:t>Настоящий акт составлен об использовании в учебном процессе разработки «Категория вторичных именных номинаций и ее репрезентативность в белорусском и русском языках» (</w:t>
      </w:r>
      <w:r>
        <w:t>ГР 20131092)</w:t>
      </w:r>
    </w:p>
    <w:p w:rsidR="00865EE8" w:rsidRDefault="00865EE8" w:rsidP="00865EE8">
      <w:pPr>
        <w:framePr w:w="10157" w:h="6331" w:vSpace="101" w:wrap="notBeside" w:vAnchor="page" w:hAnchor="page" w:x="1381" w:y="9181"/>
        <w:jc w:val="center"/>
        <w:rPr>
          <w:sz w:val="0"/>
          <w:szCs w:val="0"/>
        </w:rPr>
      </w:pPr>
      <w:r>
        <w:pict>
          <v:shape id="_x0000_i1027" type="#_x0000_t75" style="width:507.75pt;height:317.25pt">
            <v:imagedata r:id="rId9" r:href="rId10"/>
          </v:shape>
        </w:pict>
      </w:r>
    </w:p>
    <w:p w:rsidR="009118F5" w:rsidRDefault="00236F21">
      <w:pPr>
        <w:pStyle w:val="1"/>
        <w:shd w:val="clear" w:color="auto" w:fill="auto"/>
        <w:spacing w:after="296" w:line="317" w:lineRule="exact"/>
        <w:ind w:left="20" w:right="200" w:firstLine="720"/>
        <w:jc w:val="both"/>
      </w:pPr>
      <w:r>
        <w:t>Разработка используется в учебном процессе кафедры общего и русского языкоз</w:t>
      </w:r>
      <w:r>
        <w:t>нания и кафедры белорусского языкознания с 10 сентября 2014 г. при чтении курсов «Современный белорусский язык: Лексикология. Лексикография», «Современный русский литературный язык: Лексикология. Морфология», проведении практических занятий по белорусскому</w:t>
      </w:r>
      <w:r>
        <w:t xml:space="preserve"> и русскому языкам, а также при написании курсовых и дипломных работ. Разработка позволяет на должном уровне (с использованием средств мультимедиа) проводить лекционные и практические занятия, эффективно организовывать самостоятельную работу студентов и те</w:t>
      </w:r>
      <w:r>
        <w:t>м самым улучшать профессиональную подготовку будущих учителей в соответствии с требованиями современного подхода к организации процесса обучения в высшей школе.</w:t>
      </w:r>
    </w:p>
    <w:p w:rsidR="009118F5" w:rsidRDefault="00236F21">
      <w:pPr>
        <w:pStyle w:val="1"/>
        <w:shd w:val="clear" w:color="auto" w:fill="auto"/>
        <w:spacing w:after="0" w:line="322" w:lineRule="exact"/>
        <w:ind w:left="20" w:right="6300"/>
      </w:pPr>
      <w:r>
        <w:br w:type="page"/>
      </w:r>
    </w:p>
    <w:p w:rsidR="009118F5" w:rsidRDefault="00236F21">
      <w:pPr>
        <w:pStyle w:val="11"/>
        <w:keepNext/>
        <w:keepLines/>
        <w:shd w:val="clear" w:color="auto" w:fill="auto"/>
        <w:spacing w:after="347" w:line="270" w:lineRule="exact"/>
        <w:ind w:left="2680"/>
      </w:pPr>
      <w:bookmarkStart w:id="0" w:name="bookmark0"/>
      <w:r>
        <w:lastRenderedPageBreak/>
        <w:t>ОПИСАНИЕ ОБЪЕКТА ВНЕДРЕНИЯ</w:t>
      </w:r>
      <w:bookmarkEnd w:id="0"/>
    </w:p>
    <w:p w:rsidR="009118F5" w:rsidRDefault="00236F21">
      <w:pPr>
        <w:pStyle w:val="1"/>
        <w:shd w:val="clear" w:color="auto" w:fill="auto"/>
        <w:spacing w:after="0" w:line="270" w:lineRule="exact"/>
        <w:ind w:left="500"/>
      </w:pPr>
      <w:r>
        <w:t>«Категория вторичных именных номинаций и ее репрезентативность в</w:t>
      </w:r>
    </w:p>
    <w:p w:rsidR="009118F5" w:rsidRDefault="00236F21">
      <w:pPr>
        <w:pStyle w:val="1"/>
        <w:shd w:val="clear" w:color="auto" w:fill="auto"/>
        <w:spacing w:after="310" w:line="270" w:lineRule="exact"/>
        <w:ind w:left="2900"/>
      </w:pPr>
      <w:r>
        <w:t>белорусском и русском языках»</w:t>
      </w:r>
    </w:p>
    <w:p w:rsidR="009118F5" w:rsidRDefault="00236F21">
      <w:pPr>
        <w:pStyle w:val="1"/>
        <w:shd w:val="clear" w:color="auto" w:fill="auto"/>
        <w:spacing w:after="0" w:line="317" w:lineRule="exact"/>
        <w:ind w:left="20" w:right="20" w:firstLine="720"/>
        <w:jc w:val="both"/>
      </w:pPr>
      <w:r>
        <w:t>1. Краткая характеристика объекта внедрения и его назначения: Материал, представленный в разработке, включает несколько разделов. В первом из них «Вторичные имен</w:t>
      </w:r>
      <w:r>
        <w:t xml:space="preserve">ные номинации как способ моделирования языковой картины мира» дается определение вторичной номинации, указываются средства образования вторичных лексико-семантических вариантов. Система таких номинаций характеризуется двухуровневой организацией, в которую </w:t>
      </w:r>
      <w:r>
        <w:t>включаются первичные и вторичные лексико- семантические варианты. Вторичные номинации образуются в своем большинстве на базе исходных значений слов, которые определенным образом трансформируются. При этом используется звуковое оформление уже существующей в</w:t>
      </w:r>
      <w:r>
        <w:t xml:space="preserve"> языке лексической единицы.</w:t>
      </w:r>
    </w:p>
    <w:p w:rsidR="009118F5" w:rsidRDefault="00236F21">
      <w:pPr>
        <w:pStyle w:val="1"/>
        <w:shd w:val="clear" w:color="auto" w:fill="auto"/>
        <w:spacing w:after="0" w:line="317" w:lineRule="exact"/>
        <w:ind w:left="20" w:right="20" w:firstLine="720"/>
        <w:jc w:val="both"/>
      </w:pPr>
      <w:r>
        <w:t>Второй и третий разделы посвящены метафорическим структурам имен существительных. Описываются семантические типы субстантивных метафор (локативный, звуковой, квалитативный, квантитативный, параметрический, анимистический, антроп</w:t>
      </w:r>
      <w:r>
        <w:t>оморфический, партитивный, зооморфический и др.). Метафорические и метонимические лексико-семантические варианты могут расширять свои дистрибутивные возможности, употребляться в разных речевых и художественных контекстах и тем самым увеличивать корпус втор</w:t>
      </w:r>
      <w:r>
        <w:t>ичных единиц и количество вариаций прямых и обратных семантических моделей. На примере поэтических текстов Янки Купалы, Максима Богдановича, Максима Танка, Аркадия Кулешова и других поэтов раскрывается специфика функционирования вторичных ЛСВ в идиостиле т</w:t>
      </w:r>
      <w:r>
        <w:t xml:space="preserve">ого или иного автора. Приводится текст «Кароткага </w:t>
      </w:r>
      <w:r>
        <w:rPr>
          <w:lang/>
        </w:rPr>
        <w:t xml:space="preserve">слоўніка субстантыўных </w:t>
      </w:r>
      <w:r>
        <w:t xml:space="preserve">метафар </w:t>
      </w:r>
      <w:r>
        <w:rPr>
          <w:lang/>
        </w:rPr>
        <w:t xml:space="preserve">Максіма </w:t>
      </w:r>
      <w:r>
        <w:t>Танка».</w:t>
      </w:r>
    </w:p>
    <w:p w:rsidR="009118F5" w:rsidRDefault="00236F21">
      <w:pPr>
        <w:pStyle w:val="1"/>
        <w:shd w:val="clear" w:color="auto" w:fill="auto"/>
        <w:spacing w:after="0" w:line="317" w:lineRule="exact"/>
        <w:ind w:left="20" w:right="20" w:firstLine="720"/>
        <w:jc w:val="both"/>
      </w:pPr>
      <w:r>
        <w:t>В четвертом разделе характеризуются имена прилагательные как основные репрезентаторы категории квалитативности. В нем дается четкое разграничение адъективной и субстантивной метафоры и метонимии. В сфере прилагательных и существительных метафора и метоними</w:t>
      </w:r>
      <w:r>
        <w:t>я различаются в силу разной частеречной принадлежности этих лексико-грамматических разрядов, а также противопоставленности по категориям «предметность» и «признаковость». Приводится полная и всесторонняя характеристика вторичных квалитативных номинаций сле</w:t>
      </w:r>
      <w:r>
        <w:t>дующих групп: колоративная, люминальная, параметрическая, звуковая, температурная, консистентная, весовая, густаторная, одорическая.</w:t>
      </w:r>
    </w:p>
    <w:p w:rsidR="00865EE8" w:rsidRDefault="00236F21" w:rsidP="00865EE8">
      <w:pPr>
        <w:pStyle w:val="1"/>
        <w:shd w:val="clear" w:color="auto" w:fill="auto"/>
        <w:spacing w:after="0" w:line="317" w:lineRule="exact"/>
        <w:ind w:left="20" w:right="20" w:firstLine="720"/>
        <w:jc w:val="both"/>
        <w:rPr>
          <w:lang w:val="ru-RU"/>
        </w:rPr>
      </w:pPr>
      <w:r>
        <w:t>В пятом разделе рассматриваются личные местоимения, которые включаются в метафорические контексты различных структурно- ком</w:t>
      </w:r>
      <w:r>
        <w:t>позиционных структур, создают многочисленные образно-смысловые фокусы (персонифицированные, антропонимические, анимистическаие) и</w:t>
      </w:r>
      <w:r w:rsidR="00865EE8">
        <w:rPr>
          <w:lang w:val="ru-RU"/>
        </w:rPr>
        <w:t xml:space="preserve"> </w:t>
      </w:r>
      <w:r>
        <w:t>наряду с другими языковыми средствами подчиняются коммуникативным и эстетическим намерениям автора, его</w:t>
      </w:r>
      <w:r>
        <w:t xml:space="preserve"> замыслу и стратегии. </w:t>
      </w:r>
    </w:p>
    <w:p w:rsidR="009118F5" w:rsidRPr="00865EE8" w:rsidRDefault="00236F21" w:rsidP="00865EE8">
      <w:pPr>
        <w:pStyle w:val="1"/>
        <w:shd w:val="clear" w:color="auto" w:fill="auto"/>
        <w:spacing w:after="0" w:line="317" w:lineRule="exact"/>
        <w:ind w:left="20" w:right="20" w:firstLine="720"/>
        <w:jc w:val="both"/>
        <w:rPr>
          <w:lang w:val="ru-RU"/>
        </w:rPr>
        <w:sectPr w:rsidR="009118F5" w:rsidRPr="00865E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1189" w:right="459" w:bottom="1011" w:left="1308" w:header="0" w:footer="3" w:gutter="0"/>
          <w:cols w:space="720"/>
          <w:noEndnote/>
          <w:docGrid w:linePitch="360"/>
        </w:sectPr>
      </w:pPr>
      <w:r>
        <w:t>Выделяются</w:t>
      </w:r>
      <w:r w:rsidR="00865EE8">
        <w:rPr>
          <w:lang w:val="ru-RU"/>
        </w:rPr>
        <w:t xml:space="preserve"> </w:t>
      </w:r>
      <w:r w:rsidR="00C4441A">
        <w:rPr>
          <w:lang w:val="ru-RU"/>
        </w:rPr>
        <w:t xml:space="preserve"> однокомпонентные, двухкомпонентные и многокомпонентные</w:t>
      </w:r>
    </w:p>
    <w:p w:rsidR="009118F5" w:rsidRPr="00865EE8" w:rsidRDefault="00236F21">
      <w:pPr>
        <w:rPr>
          <w:sz w:val="2"/>
          <w:szCs w:val="2"/>
          <w:lang w:val="ru-RU"/>
        </w:rPr>
        <w:sectPr w:rsidR="009118F5" w:rsidRPr="00865E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9118F5" w:rsidRDefault="00236F21">
      <w:pPr>
        <w:pStyle w:val="1"/>
        <w:framePr w:h="270" w:wrap="around" w:hAnchor="margin" w:x="6974" w:y="558"/>
        <w:shd w:val="clear" w:color="auto" w:fill="auto"/>
        <w:spacing w:after="0" w:line="270" w:lineRule="exact"/>
        <w:ind w:left="100"/>
      </w:pPr>
      <w:r>
        <w:t>многокомпонентные</w:t>
      </w:r>
    </w:p>
    <w:p w:rsidR="009118F5" w:rsidRDefault="00236F21">
      <w:pPr>
        <w:rPr>
          <w:sz w:val="2"/>
          <w:szCs w:val="2"/>
        </w:rPr>
        <w:sectPr w:rsidR="009118F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9118F5" w:rsidRDefault="00236F21">
      <w:pPr>
        <w:pStyle w:val="1"/>
        <w:shd w:val="clear" w:color="auto" w:fill="auto"/>
        <w:spacing w:after="0" w:line="317" w:lineRule="exact"/>
        <w:ind w:left="80" w:right="20"/>
        <w:jc w:val="both"/>
      </w:pPr>
      <w:r>
        <w:lastRenderedPageBreak/>
        <w:t xml:space="preserve">метафорические контексты. В качестве автометафоры может выступать и целое произведение. Реализация смыслового потенциала местоименных номинаций зависит от специфики мировосприятия автора, его личного жизненного опыта, </w:t>
      </w:r>
      <w:r>
        <w:lastRenderedPageBreak/>
        <w:t>индивидуальных систем ценностей, от бо</w:t>
      </w:r>
      <w:r>
        <w:t>гатства представлений и свежести ассоциаций, особенностей авторского стиля и многих других причин.</w:t>
      </w:r>
    </w:p>
    <w:p w:rsidR="009118F5" w:rsidRDefault="00236F21">
      <w:pPr>
        <w:pStyle w:val="1"/>
        <w:shd w:val="clear" w:color="auto" w:fill="auto"/>
        <w:spacing w:after="0" w:line="317" w:lineRule="exact"/>
        <w:ind w:left="80" w:right="20" w:firstLine="720"/>
        <w:jc w:val="both"/>
      </w:pPr>
      <w:r>
        <w:t>Вторичные местоименные номинации как определенные статико- динамические структуры определяют специфику многих поэтических произведений. Они позволяют расшири</w:t>
      </w:r>
      <w:r>
        <w:t>ть смысловой объем высказывания, подчеркнуть и выделить наиболее важные элементы речевого континуума, акцентировать внимание как на постоянных, так и временных, эпизодических признаках. В них заложены практически неограниченные ресурсы семантических отожде</w:t>
      </w:r>
      <w:r>
        <w:t>ствлений, сравнений и перевоплощений</w:t>
      </w:r>
    </w:p>
    <w:p w:rsidR="009118F5" w:rsidRDefault="00236F21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spacing w:after="0" w:line="317" w:lineRule="exact"/>
        <w:ind w:left="80" w:right="20" w:firstLine="720"/>
        <w:jc w:val="both"/>
      </w:pPr>
      <w:r>
        <w:t>Фамилия и инициалы разработчиков, место работы, должность: Стариченок В.Д., кафедра общего и русского языкознания, профессор.</w:t>
      </w:r>
    </w:p>
    <w:p w:rsidR="009118F5" w:rsidRDefault="00236F21">
      <w:pPr>
        <w:pStyle w:val="1"/>
        <w:numPr>
          <w:ilvl w:val="0"/>
          <w:numId w:val="1"/>
        </w:numPr>
        <w:shd w:val="clear" w:color="auto" w:fill="auto"/>
        <w:tabs>
          <w:tab w:val="left" w:pos="1170"/>
        </w:tabs>
        <w:spacing w:after="0" w:line="317" w:lineRule="exact"/>
        <w:ind w:left="80" w:right="20" w:firstLine="720"/>
        <w:jc w:val="both"/>
      </w:pPr>
      <w:r>
        <w:t>Фамилия и инициалы преподавателей, использующих разработку: Стариченок В.Д., Чуханова А.В., Р</w:t>
      </w:r>
      <w:r>
        <w:t>атько Т.В.</w:t>
      </w:r>
    </w:p>
    <w:p w:rsidR="009118F5" w:rsidRDefault="00236F21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17" w:lineRule="exact"/>
        <w:ind w:left="80" w:firstLine="720"/>
        <w:jc w:val="both"/>
      </w:pPr>
      <w:r>
        <w:t>Начало использования объекта внедрения: 10 сентября 2014 г.</w:t>
      </w:r>
    </w:p>
    <w:p w:rsidR="009118F5" w:rsidRDefault="00236F21">
      <w:pPr>
        <w:pStyle w:val="1"/>
        <w:numPr>
          <w:ilvl w:val="0"/>
          <w:numId w:val="1"/>
        </w:numPr>
        <w:shd w:val="clear" w:color="auto" w:fill="auto"/>
        <w:tabs>
          <w:tab w:val="left" w:pos="1074"/>
        </w:tabs>
        <w:spacing w:after="0" w:line="317" w:lineRule="exact"/>
        <w:ind w:left="80" w:firstLine="720"/>
        <w:jc w:val="both"/>
      </w:pPr>
      <w:r>
        <w:t>Число студентов, пользующихся разработкой: 40.</w:t>
      </w:r>
    </w:p>
    <w:p w:rsidR="009118F5" w:rsidRDefault="00236F21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spacing w:after="357" w:line="317" w:lineRule="exact"/>
        <w:ind w:left="80" w:right="20" w:firstLine="720"/>
        <w:jc w:val="both"/>
      </w:pPr>
      <w:r>
        <w:t>Дата и номер протокола заседания кафедры, на котором разработка рекомендована к внедрению: 10.09.2014, протокол № 2.</w:t>
      </w:r>
    </w:p>
    <w:p w:rsidR="009118F5" w:rsidRDefault="00236F2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7.75pt;height:102pt">
            <v:imagedata r:id="rId17" r:href="rId18"/>
          </v:shape>
        </w:pict>
      </w:r>
    </w:p>
    <w:p w:rsidR="009118F5" w:rsidRDefault="009118F5">
      <w:pPr>
        <w:rPr>
          <w:sz w:val="2"/>
          <w:szCs w:val="2"/>
        </w:rPr>
      </w:pPr>
    </w:p>
    <w:sectPr w:rsidR="009118F5" w:rsidSect="009118F5">
      <w:type w:val="continuous"/>
      <w:pgSz w:w="11905" w:h="16837"/>
      <w:pgMar w:top="1171" w:right="680" w:bottom="5625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21" w:rsidRDefault="00236F21" w:rsidP="009118F5">
      <w:r>
        <w:separator/>
      </w:r>
    </w:p>
  </w:endnote>
  <w:endnote w:type="continuationSeparator" w:id="0">
    <w:p w:rsidR="00236F21" w:rsidRDefault="00236F21" w:rsidP="0091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17" w:rsidRDefault="004E79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17" w:rsidRDefault="004E791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17" w:rsidRDefault="004E79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21" w:rsidRDefault="00236F21"/>
  </w:footnote>
  <w:footnote w:type="continuationSeparator" w:id="0">
    <w:p w:rsidR="00236F21" w:rsidRDefault="00236F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17" w:rsidRDefault="004E791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3217688"/>
      <w:docPartObj>
        <w:docPartGallery w:val="Watermarks"/>
        <w:docPartUnique/>
      </w:docPartObj>
    </w:sdtPr>
    <w:sdtContent>
      <w:p w:rsidR="004E7917" w:rsidRDefault="004E7917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30142" o:spid="_x0000_s2049" type="#_x0000_t136" style="position:absolute;margin-left:0;margin-top:0;width:595.55pt;height:119.1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17" w:rsidRDefault="004E791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E1E"/>
    <w:multiLevelType w:val="multilevel"/>
    <w:tmpl w:val="9A24C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18F5"/>
    <w:rsid w:val="00130E62"/>
    <w:rsid w:val="00236F21"/>
    <w:rsid w:val="004E7917"/>
    <w:rsid w:val="00865EE8"/>
    <w:rsid w:val="009118F5"/>
    <w:rsid w:val="00C4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18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8F5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11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911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9118F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118F5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semiHidden/>
    <w:unhideWhenUsed/>
    <w:rsid w:val="004E79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7917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4E79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791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2015-06-30T07:01:00Z</dcterms:created>
  <dcterms:modified xsi:type="dcterms:W3CDTF">2015-06-30T07:23:00Z</dcterms:modified>
</cp:coreProperties>
</file>