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9B" w:rsidRPr="00940668" w:rsidRDefault="00A0539B" w:rsidP="00A0539B">
      <w:pPr>
        <w:suppressAutoHyphens/>
        <w:ind w:firstLine="709"/>
        <w:jc w:val="center"/>
        <w:rPr>
          <w:b/>
        </w:rPr>
      </w:pPr>
      <w:r w:rsidRPr="00940668">
        <w:rPr>
          <w:b/>
        </w:rPr>
        <w:t>РАЗВИТИЕ ТУРИЗМА В</w:t>
      </w:r>
      <w:r>
        <w:rPr>
          <w:b/>
        </w:rPr>
        <w:t xml:space="preserve"> </w:t>
      </w:r>
      <w:r w:rsidRPr="00940668">
        <w:rPr>
          <w:b/>
        </w:rPr>
        <w:t>РЕСПУБЛИКЕ БЕЛАРУСЬ</w:t>
      </w:r>
    </w:p>
    <w:p w:rsidR="00A0539B" w:rsidRPr="00940668" w:rsidRDefault="00A0539B" w:rsidP="00A0539B">
      <w:pPr>
        <w:suppressAutoHyphens/>
        <w:ind w:firstLine="709"/>
        <w:jc w:val="center"/>
        <w:rPr>
          <w:b/>
        </w:rPr>
      </w:pPr>
      <w:r w:rsidRPr="00940668">
        <w:rPr>
          <w:b/>
        </w:rPr>
        <w:t>НА СОВРЕМЕННОМ ЭТАПЕ</w:t>
      </w:r>
    </w:p>
    <w:p w:rsidR="00A0539B" w:rsidRPr="00940668" w:rsidRDefault="00A0539B" w:rsidP="00A0539B">
      <w:pPr>
        <w:suppressAutoHyphens/>
        <w:ind w:firstLine="709"/>
        <w:jc w:val="right"/>
        <w:rPr>
          <w:i/>
        </w:rPr>
      </w:pPr>
      <w:r w:rsidRPr="00940668">
        <w:rPr>
          <w:i/>
        </w:rPr>
        <w:t xml:space="preserve">Врублевская В.И. </w:t>
      </w:r>
    </w:p>
    <w:p w:rsidR="00A0539B" w:rsidRDefault="00A0539B" w:rsidP="00A0539B">
      <w:pPr>
        <w:suppressAutoHyphens/>
        <w:ind w:firstLine="709"/>
        <w:jc w:val="right"/>
        <w:rPr>
          <w:i/>
        </w:rPr>
      </w:pPr>
      <w:r>
        <w:rPr>
          <w:i/>
        </w:rPr>
        <w:t>г.Минск, Беларусь</w:t>
      </w:r>
    </w:p>
    <w:p w:rsidR="00A0539B" w:rsidRDefault="00A0539B" w:rsidP="00A0539B">
      <w:pPr>
        <w:suppressAutoHyphens/>
        <w:ind w:firstLine="709"/>
        <w:jc w:val="right"/>
        <w:rPr>
          <w:i/>
        </w:rPr>
      </w:pPr>
    </w:p>
    <w:p w:rsidR="00A0539B" w:rsidRPr="000E13B8" w:rsidRDefault="00A0539B" w:rsidP="00A0539B">
      <w:pPr>
        <w:suppressAutoHyphens/>
        <w:ind w:firstLine="709"/>
        <w:jc w:val="both"/>
        <w:rPr>
          <w:i/>
          <w:lang w:val="en-US"/>
        </w:rPr>
      </w:pPr>
      <w:r w:rsidRPr="000E13B8">
        <w:rPr>
          <w:i/>
          <w:color w:val="000000"/>
          <w:lang w:val="en-US"/>
        </w:rPr>
        <w:t>The article shows the development of tourism in the Republic of Belarus on the contemporary stage</w:t>
      </w:r>
    </w:p>
    <w:p w:rsidR="00A0539B" w:rsidRPr="000E13B8" w:rsidRDefault="00A0539B" w:rsidP="00A0539B">
      <w:pPr>
        <w:suppressAutoHyphens/>
        <w:ind w:firstLine="709"/>
        <w:jc w:val="both"/>
        <w:rPr>
          <w:lang w:val="en-US"/>
        </w:rPr>
      </w:pPr>
    </w:p>
    <w:p w:rsidR="00A0539B" w:rsidRPr="00B16D2B" w:rsidRDefault="00A0539B" w:rsidP="00A0539B">
      <w:pPr>
        <w:suppressAutoHyphens/>
        <w:ind w:firstLine="709"/>
        <w:jc w:val="both"/>
      </w:pPr>
      <w:r w:rsidRPr="00B16D2B">
        <w:rPr>
          <w:color w:val="000000"/>
          <w:spacing w:val="1"/>
        </w:rPr>
        <w:t xml:space="preserve">Формирование рыночной экономики </w:t>
      </w:r>
      <w:r w:rsidRPr="00B16D2B">
        <w:rPr>
          <w:color w:val="000000"/>
          <w:spacing w:val="2"/>
        </w:rPr>
        <w:t xml:space="preserve">вызвало интерес к формам и методам производственно-коммерческой деятельности, используемый в </w:t>
      </w:r>
      <w:r w:rsidRPr="00B16D2B">
        <w:rPr>
          <w:color w:val="000000"/>
          <w:spacing w:val="1"/>
        </w:rPr>
        <w:t xml:space="preserve">практике туристических предприятий. Именно поэтому туристическая отрасль нуждается в разработке новых </w:t>
      </w:r>
      <w:r w:rsidRPr="00B16D2B">
        <w:rPr>
          <w:color w:val="000000"/>
          <w:spacing w:val="2"/>
        </w:rPr>
        <w:t>методик организации и продвижения туристического продукта и определении перспективных приоритетных направлений развития туристических услуг, обеспечивающих прирост экспорта.</w:t>
      </w:r>
    </w:p>
    <w:p w:rsidR="00A0539B" w:rsidRPr="00B16D2B" w:rsidRDefault="00A0539B" w:rsidP="00A0539B">
      <w:pPr>
        <w:suppressAutoHyphens/>
        <w:ind w:firstLine="709"/>
        <w:jc w:val="both"/>
      </w:pPr>
      <w:r w:rsidRPr="00B16D2B">
        <w:rPr>
          <w:color w:val="000000"/>
          <w:spacing w:val="8"/>
        </w:rPr>
        <w:t xml:space="preserve">Проектом Государственной программы развития туризма на </w:t>
      </w:r>
      <w:r w:rsidRPr="00B16D2B">
        <w:rPr>
          <w:color w:val="000000"/>
          <w:spacing w:val="6"/>
        </w:rPr>
        <w:t xml:space="preserve">2011-2015 годы планируется увеличение к 2015 году по сравнению </w:t>
      </w:r>
      <w:r w:rsidRPr="00B16D2B">
        <w:rPr>
          <w:color w:val="000000"/>
          <w:spacing w:val="-8"/>
        </w:rPr>
        <w:t>с 2010 годом многих показателей.</w:t>
      </w:r>
    </w:p>
    <w:p w:rsidR="00A0539B" w:rsidRPr="00B16D2B" w:rsidRDefault="00A0539B" w:rsidP="00A0539B">
      <w:pPr>
        <w:suppressAutoHyphens/>
        <w:ind w:firstLine="709"/>
        <w:jc w:val="both"/>
        <w:rPr>
          <w:color w:val="000000"/>
          <w:spacing w:val="-5"/>
        </w:rPr>
      </w:pPr>
      <w:r w:rsidRPr="00B16D2B">
        <w:rPr>
          <w:color w:val="000000"/>
          <w:spacing w:val="1"/>
        </w:rPr>
        <w:t xml:space="preserve">Прогнозные показатели развития туризма в Республике Беларусь </w:t>
      </w:r>
      <w:r w:rsidRPr="00B16D2B">
        <w:rPr>
          <w:color w:val="000000"/>
          <w:spacing w:val="-5"/>
        </w:rPr>
        <w:t xml:space="preserve">на 2011-2015 годы представлены на рисунке 1. </w:t>
      </w:r>
      <w:r w:rsidRPr="00B16D2B">
        <w:rPr>
          <w:color w:val="000000"/>
          <w:spacing w:val="-7"/>
        </w:rPr>
        <w:t>[5]</w:t>
      </w:r>
    </w:p>
    <w:p w:rsidR="00A0539B" w:rsidRPr="00940668" w:rsidRDefault="00A0539B" w:rsidP="00A0539B">
      <w:pPr>
        <w:tabs>
          <w:tab w:val="left" w:pos="0"/>
        </w:tabs>
        <w:suppressAutoHyphens/>
        <w:ind w:firstLine="709"/>
        <w:jc w:val="center"/>
        <w:rPr>
          <w:sz w:val="20"/>
          <w:szCs w:val="20"/>
        </w:rPr>
      </w:pPr>
      <w:r>
        <w:rPr>
          <w:noProof/>
          <w:lang w:val="be-BY" w:eastAsia="be-BY"/>
        </w:rPr>
        <w:drawing>
          <wp:inline distT="0" distB="0" distL="0" distR="0">
            <wp:extent cx="5800725" cy="220027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40668">
        <w:rPr>
          <w:sz w:val="20"/>
          <w:szCs w:val="20"/>
        </w:rPr>
        <w:t>Рисунок 1.</w:t>
      </w:r>
      <w:r>
        <w:rPr>
          <w:sz w:val="20"/>
          <w:szCs w:val="20"/>
        </w:rPr>
        <w:t xml:space="preserve"> </w:t>
      </w:r>
      <w:r w:rsidRPr="00940668">
        <w:rPr>
          <w:sz w:val="20"/>
          <w:szCs w:val="20"/>
        </w:rPr>
        <w:t xml:space="preserve">Прогнозные показатели развития туризма в Республике Беларусь </w:t>
      </w:r>
    </w:p>
    <w:p w:rsidR="00A0539B" w:rsidRPr="00940668" w:rsidRDefault="00A0539B" w:rsidP="00A0539B">
      <w:pPr>
        <w:tabs>
          <w:tab w:val="left" w:pos="0"/>
        </w:tabs>
        <w:suppressAutoHyphens/>
        <w:ind w:firstLine="709"/>
        <w:jc w:val="center"/>
        <w:rPr>
          <w:sz w:val="20"/>
          <w:szCs w:val="20"/>
        </w:rPr>
      </w:pPr>
      <w:r w:rsidRPr="00940668">
        <w:rPr>
          <w:sz w:val="20"/>
          <w:szCs w:val="20"/>
        </w:rPr>
        <w:t>на 2011-2015 годы: Экспорт туристических услуг. млн. долларов США</w:t>
      </w:r>
    </w:p>
    <w:p w:rsidR="00A0539B" w:rsidRPr="00B16D2B" w:rsidRDefault="00A0539B" w:rsidP="00A0539B">
      <w:pPr>
        <w:tabs>
          <w:tab w:val="left" w:pos="0"/>
        </w:tabs>
        <w:suppressAutoHyphens/>
        <w:ind w:firstLine="709"/>
        <w:jc w:val="both"/>
      </w:pPr>
      <w:r w:rsidRPr="00B16D2B">
        <w:t>Из рисунка 1 видно, что к 2015 году экспорт туристических услуг увеличится в 3,5 раза по сравнению с 2010 годом. Так, при плане 175 миллионов долларов США в 2011 году туризм принес в бюджет только 151,6 миллиона долларов. По сравнению с 2010 годом, когда туризм заработал 146,7 миллиона долларов, рост объема экспорта составил 9,8%, хотя и не достиг запланированного уровня. В то же время, по словам Андрея Мартынова, главной проблемой, помешавшей выполнить плановые показатели, стала девальвация белорусского рубля и разница курсов, возникшая в начале летнего сезона: в 2011 году в белорусских рублях экспорт туристических услуг вырос до 187% по сравнению с 2010 годом.</w:t>
      </w:r>
    </w:p>
    <w:p w:rsidR="00A0539B" w:rsidRPr="00B16D2B" w:rsidRDefault="00A0539B" w:rsidP="00A0539B">
      <w:pPr>
        <w:pStyle w:val="ab"/>
        <w:suppressAutoHyphens/>
        <w:ind w:firstLine="709"/>
        <w:jc w:val="both"/>
      </w:pPr>
      <w:r w:rsidRPr="00B16D2B">
        <w:t xml:space="preserve">Меньше всего в 2011 году заработала на экспорте туристических услуг Могилевская область – 4,6 миллиона долларов, а самый медленный рост продемонстрировала Гродненская область – 4,3% к уровню 2010 года. По подсчетам заместителя министра спорта и туризма Чеслава Шульги, чтобы восстановить темп, заданный Государственной программой, в 2012 году туристическая отрасль должна увеличить экспорт на 50–60%. </w:t>
      </w:r>
    </w:p>
    <w:p w:rsidR="00A0539B" w:rsidRPr="00B16D2B" w:rsidRDefault="00A0539B" w:rsidP="00A0539B">
      <w:pPr>
        <w:pStyle w:val="ab"/>
        <w:suppressAutoHyphens/>
        <w:ind w:firstLine="709"/>
        <w:jc w:val="both"/>
      </w:pPr>
      <w:r w:rsidRPr="00B16D2B">
        <w:lastRenderedPageBreak/>
        <w:t xml:space="preserve">Одним из приоритетных направлений развития туризма в стране </w:t>
      </w:r>
      <w:r w:rsidRPr="00940668">
        <w:t>является л</w:t>
      </w:r>
      <w:r w:rsidRPr="00B16D2B">
        <w:t>ечебный туризм.</w:t>
      </w:r>
    </w:p>
    <w:p w:rsidR="00A0539B" w:rsidRPr="00B16D2B" w:rsidRDefault="00A0539B" w:rsidP="00A0539B">
      <w:pPr>
        <w:suppressAutoHyphens/>
        <w:ind w:firstLine="709"/>
        <w:jc w:val="both"/>
      </w:pPr>
      <w:r w:rsidRPr="00B16D2B">
        <w:t>Так</w:t>
      </w:r>
      <w:r>
        <w:t>,</w:t>
      </w:r>
      <w:r w:rsidRPr="00B16D2B">
        <w:t xml:space="preserve"> если в 2003г. в санаторно-курортных учреждениях Беларуси отдохнули менее 1.5 тыс. иностранных туристов, то</w:t>
      </w:r>
      <w:r>
        <w:t xml:space="preserve"> </w:t>
      </w:r>
      <w:smartTag w:uri="urn:schemas-microsoft-com:office:smarttags" w:element="metricconverter">
        <w:smartTagPr>
          <w:attr w:name="ProductID" w:val="2006 г"/>
        </w:smartTagPr>
        <w:r w:rsidRPr="00B16D2B">
          <w:t>2006 г</w:t>
        </w:r>
      </w:smartTag>
      <w:r w:rsidRPr="00B16D2B">
        <w:t xml:space="preserve">. – 28.5 тыс., </w:t>
      </w:r>
      <w:smartTag w:uri="urn:schemas-microsoft-com:office:smarttags" w:element="metricconverter">
        <w:smartTagPr>
          <w:attr w:name="ProductID" w:val="2007 г"/>
        </w:smartTagPr>
        <w:r w:rsidRPr="00B16D2B">
          <w:t>2007 г</w:t>
        </w:r>
      </w:smartTag>
      <w:r w:rsidRPr="00B16D2B">
        <w:t xml:space="preserve">. – свыше 35 тыс., </w:t>
      </w:r>
      <w:smartTag w:uri="urn:schemas-microsoft-com:office:smarttags" w:element="metricconverter">
        <w:smartTagPr>
          <w:attr w:name="ProductID" w:val="2008 г"/>
        </w:smartTagPr>
        <w:r w:rsidRPr="00B16D2B">
          <w:t>2008 г</w:t>
        </w:r>
      </w:smartTag>
      <w:r w:rsidRPr="00B16D2B">
        <w:t xml:space="preserve">. – более 105 тыс., а в </w:t>
      </w:r>
      <w:smartTag w:uri="urn:schemas-microsoft-com:office:smarttags" w:element="metricconverter">
        <w:smartTagPr>
          <w:attr w:name="ProductID" w:val="2010 г"/>
        </w:smartTagPr>
        <w:r w:rsidRPr="00B16D2B">
          <w:t>2010 г</w:t>
        </w:r>
      </w:smartTag>
      <w:r w:rsidRPr="00B16D2B">
        <w:t xml:space="preserve">. – 172 тыс. иностранцы граждан, в т.ч. 165 тыс. из стран СНГ, в 2011 г. – свыше 180 тыс.человек. Таким образом, за период 2003-2011 гг. поток иностранных отдыхающих возрос более чем в 100 раз, что позволило существенно увеличить экспорт санаторно-курортных услуг. </w:t>
      </w:r>
      <w:r w:rsidRPr="00B16D2B">
        <w:rPr>
          <w:color w:val="000000"/>
          <w:spacing w:val="-7"/>
        </w:rPr>
        <w:t>[3]</w:t>
      </w:r>
    </w:p>
    <w:p w:rsidR="00A0539B" w:rsidRPr="00B16D2B" w:rsidRDefault="00A0539B" w:rsidP="00A0539B">
      <w:pPr>
        <w:suppressAutoHyphens/>
        <w:ind w:firstLine="709"/>
        <w:jc w:val="both"/>
      </w:pPr>
      <w:r w:rsidRPr="00B16D2B">
        <w:t xml:space="preserve">В 2011 году число иностранных граждан, получивших медицинскую помощь в Беларуси, составило более 115 тысяч человек. Экспорт медицинских услуг, оказываемых субъектами хозяйствования всех форм собственности, составил более $13 миллионов. </w:t>
      </w:r>
      <w:r w:rsidRPr="00B16D2B">
        <w:rPr>
          <w:color w:val="000000"/>
          <w:spacing w:val="-7"/>
        </w:rPr>
        <w:t>[1]</w:t>
      </w:r>
    </w:p>
    <w:p w:rsidR="00A0539B" w:rsidRPr="00B16D2B" w:rsidRDefault="00A0539B" w:rsidP="00A0539B">
      <w:pPr>
        <w:suppressAutoHyphens/>
        <w:ind w:firstLine="709"/>
        <w:jc w:val="both"/>
      </w:pPr>
      <w:r w:rsidRPr="00B16D2B">
        <w:t>Около 95% потока иностранных туристов приходится на граждан</w:t>
      </w:r>
      <w:r>
        <w:t xml:space="preserve"> </w:t>
      </w:r>
      <w:r w:rsidRPr="00B16D2B">
        <w:t>стран СНГ и, прежде всего, туристов из Российской Федерации и, в гораздо меньшей степени Украины. Из стран,</w:t>
      </w:r>
      <w:r>
        <w:t xml:space="preserve"> </w:t>
      </w:r>
      <w:r w:rsidRPr="00B16D2B">
        <w:t>не входящих в СНГ, наибольший спрос на отдых в белорусских санаториях проявляется на рынках стран Прибалтики, в определенной степени - в Израиле (диаспора).</w:t>
      </w:r>
    </w:p>
    <w:p w:rsidR="00A0539B" w:rsidRPr="00B16D2B" w:rsidRDefault="00A0539B" w:rsidP="00A0539B">
      <w:pPr>
        <w:suppressAutoHyphens/>
        <w:ind w:firstLine="709"/>
        <w:jc w:val="both"/>
      </w:pPr>
      <w:r w:rsidRPr="00B16D2B">
        <w:t xml:space="preserve">В функциональной структуре санаторно-курортного хозяйства ключевую роль в приеме иностранных посетителей играют именно санатории, которые обладают наиболее широкими возможностями для организации качественного комплексного санаторно-курортного обслуживания по сравнению с другими типами здравниц, а также проводят более активную рекламно-информационную деятельность на рынках соседних стран. </w:t>
      </w:r>
      <w:r w:rsidRPr="00B16D2B">
        <w:rPr>
          <w:color w:val="000000"/>
          <w:spacing w:val="-7"/>
        </w:rPr>
        <w:t>[1]</w:t>
      </w:r>
    </w:p>
    <w:p w:rsidR="00A0539B" w:rsidRPr="00B16D2B" w:rsidRDefault="00A0539B" w:rsidP="00A0539B">
      <w:pPr>
        <w:pStyle w:val="ab"/>
        <w:suppressAutoHyphens/>
        <w:ind w:firstLine="709"/>
        <w:jc w:val="both"/>
        <w:rPr>
          <w:color w:val="000000"/>
          <w:spacing w:val="8"/>
        </w:rPr>
      </w:pPr>
      <w:r w:rsidRPr="00B16D2B">
        <w:rPr>
          <w:color w:val="000000"/>
          <w:spacing w:val="8"/>
        </w:rPr>
        <w:t xml:space="preserve">Одно из перспективных направлений развития туризма в Республике Беларусь – «зеленый» туризм. </w:t>
      </w:r>
    </w:p>
    <w:p w:rsidR="00A0539B" w:rsidRPr="00B16D2B" w:rsidRDefault="00A0539B" w:rsidP="00A0539B">
      <w:pPr>
        <w:suppressAutoHyphens/>
        <w:ind w:firstLine="709"/>
        <w:jc w:val="both"/>
        <w:rPr>
          <w:color w:val="000000"/>
          <w:spacing w:val="-1"/>
        </w:rPr>
      </w:pPr>
      <w:r w:rsidRPr="00B16D2B">
        <w:rPr>
          <w:color w:val="000000"/>
          <w:spacing w:val="-5"/>
        </w:rPr>
        <w:t>Агротуризм в Беларуси находится в стадии ста</w:t>
      </w:r>
      <w:r w:rsidRPr="00B16D2B">
        <w:rPr>
          <w:color w:val="000000"/>
          <w:spacing w:val="-3"/>
        </w:rPr>
        <w:t>новления</w:t>
      </w:r>
      <w:r w:rsidRPr="00B16D2B">
        <w:rPr>
          <w:color w:val="000000"/>
          <w:spacing w:val="-6"/>
        </w:rPr>
        <w:t xml:space="preserve">. Вместе с тем в соответствии с международной практикой </w:t>
      </w:r>
      <w:r w:rsidRPr="00B16D2B">
        <w:rPr>
          <w:color w:val="000000"/>
          <w:spacing w:val="-1"/>
        </w:rPr>
        <w:t>получили развитие все три его модели:</w:t>
      </w:r>
    </w:p>
    <w:p w:rsidR="00A0539B" w:rsidRPr="00B16D2B" w:rsidRDefault="00A0539B" w:rsidP="00A0539B">
      <w:pPr>
        <w:suppressAutoHyphens/>
        <w:ind w:firstLine="709"/>
        <w:jc w:val="both"/>
        <w:rPr>
          <w:color w:val="000000"/>
          <w:spacing w:val="-4"/>
        </w:rPr>
      </w:pPr>
      <w:r w:rsidRPr="00B16D2B">
        <w:rPr>
          <w:color w:val="000000"/>
          <w:spacing w:val="-1"/>
        </w:rPr>
        <w:t>1</w:t>
      </w:r>
      <w:r>
        <w:rPr>
          <w:color w:val="000000"/>
          <w:spacing w:val="-1"/>
        </w:rPr>
        <w:t xml:space="preserve"> </w:t>
      </w:r>
      <w:r w:rsidRPr="00B16D2B">
        <w:rPr>
          <w:color w:val="000000"/>
          <w:spacing w:val="-1"/>
        </w:rPr>
        <w:t xml:space="preserve">модель. </w:t>
      </w:r>
      <w:r w:rsidRPr="00B16D2B">
        <w:rPr>
          <w:color w:val="000000"/>
          <w:spacing w:val="-2"/>
        </w:rPr>
        <w:t xml:space="preserve">Агротуристические </w:t>
      </w:r>
      <w:r w:rsidRPr="00B16D2B">
        <w:rPr>
          <w:color w:val="000000"/>
          <w:spacing w:val="-4"/>
        </w:rPr>
        <w:t xml:space="preserve">усадьбы, </w:t>
      </w:r>
      <w:r w:rsidRPr="00B16D2B">
        <w:rPr>
          <w:color w:val="000000"/>
          <w:spacing w:val="-3"/>
        </w:rPr>
        <w:t xml:space="preserve">малые семейные </w:t>
      </w:r>
      <w:r w:rsidRPr="00B16D2B">
        <w:rPr>
          <w:color w:val="000000"/>
          <w:spacing w:val="-4"/>
        </w:rPr>
        <w:t>гостиничные хозяйства.</w:t>
      </w:r>
    </w:p>
    <w:p w:rsidR="00A0539B" w:rsidRPr="00B16D2B" w:rsidRDefault="00A0539B" w:rsidP="00A0539B">
      <w:pPr>
        <w:suppressAutoHyphens/>
        <w:ind w:firstLine="709"/>
        <w:jc w:val="both"/>
        <w:rPr>
          <w:color w:val="000000"/>
          <w:spacing w:val="-3"/>
        </w:rPr>
      </w:pPr>
      <w:r w:rsidRPr="00B16D2B">
        <w:rPr>
          <w:color w:val="000000"/>
          <w:spacing w:val="-4"/>
        </w:rPr>
        <w:t>2 модель.</w:t>
      </w:r>
      <w:r w:rsidRPr="00B16D2B">
        <w:rPr>
          <w:color w:val="000000"/>
          <w:spacing w:val="-3"/>
        </w:rPr>
        <w:t xml:space="preserve"> Средние и крупные </w:t>
      </w:r>
      <w:r w:rsidRPr="00B16D2B">
        <w:rPr>
          <w:color w:val="000000"/>
          <w:spacing w:val="-2"/>
        </w:rPr>
        <w:t xml:space="preserve">агротуристические </w:t>
      </w:r>
      <w:r w:rsidRPr="00B16D2B">
        <w:rPr>
          <w:color w:val="000000"/>
          <w:spacing w:val="-3"/>
        </w:rPr>
        <w:t>объекты</w:t>
      </w:r>
      <w:r w:rsidRPr="00B16D2B">
        <w:rPr>
          <w:color w:val="000000"/>
          <w:spacing w:val="-1"/>
        </w:rPr>
        <w:t xml:space="preserve">, в сельской местности, </w:t>
      </w:r>
      <w:r w:rsidRPr="00B16D2B">
        <w:rPr>
          <w:color w:val="000000"/>
          <w:spacing w:val="-2"/>
        </w:rPr>
        <w:t xml:space="preserve">туристические деревни </w:t>
      </w:r>
      <w:r w:rsidRPr="00B16D2B">
        <w:rPr>
          <w:color w:val="000000"/>
          <w:spacing w:val="-3"/>
        </w:rPr>
        <w:t>и этнографические комплексы.</w:t>
      </w:r>
    </w:p>
    <w:p w:rsidR="00A0539B" w:rsidRPr="00B16D2B" w:rsidRDefault="00A0539B" w:rsidP="00A0539B">
      <w:pPr>
        <w:suppressAutoHyphens/>
        <w:ind w:firstLine="709"/>
        <w:jc w:val="both"/>
        <w:rPr>
          <w:color w:val="000000"/>
          <w:spacing w:val="-1"/>
        </w:rPr>
      </w:pPr>
      <w:r w:rsidRPr="00B16D2B">
        <w:rPr>
          <w:color w:val="000000"/>
          <w:spacing w:val="-1"/>
        </w:rPr>
        <w:t>3</w:t>
      </w:r>
      <w:r>
        <w:rPr>
          <w:color w:val="000000"/>
          <w:spacing w:val="-1"/>
        </w:rPr>
        <w:t xml:space="preserve"> </w:t>
      </w:r>
      <w:r w:rsidRPr="00B16D2B">
        <w:rPr>
          <w:color w:val="000000"/>
          <w:spacing w:val="-1"/>
        </w:rPr>
        <w:t xml:space="preserve">модель. </w:t>
      </w:r>
      <w:r w:rsidRPr="00B16D2B">
        <w:rPr>
          <w:color w:val="000000"/>
          <w:spacing w:val="-4"/>
        </w:rPr>
        <w:t xml:space="preserve">Агротуристические </w:t>
      </w:r>
      <w:r w:rsidRPr="00B16D2B">
        <w:rPr>
          <w:color w:val="000000"/>
          <w:spacing w:val="-3"/>
        </w:rPr>
        <w:t xml:space="preserve">комплексы на базе </w:t>
      </w:r>
      <w:r w:rsidRPr="00B16D2B">
        <w:rPr>
          <w:color w:val="000000"/>
          <w:spacing w:val="-4"/>
        </w:rPr>
        <w:t xml:space="preserve">сельскохозяйственных </w:t>
      </w:r>
      <w:r w:rsidRPr="00B16D2B">
        <w:rPr>
          <w:color w:val="000000"/>
          <w:spacing w:val="-6"/>
        </w:rPr>
        <w:t xml:space="preserve">производстве иных </w:t>
      </w:r>
      <w:r w:rsidRPr="00B16D2B">
        <w:rPr>
          <w:color w:val="000000"/>
          <w:spacing w:val="-4"/>
        </w:rPr>
        <w:t xml:space="preserve">кооперативов. </w:t>
      </w:r>
    </w:p>
    <w:p w:rsidR="00A0539B" w:rsidRPr="00B16D2B" w:rsidRDefault="00A0539B" w:rsidP="00A0539B">
      <w:pPr>
        <w:pStyle w:val="ab"/>
        <w:suppressAutoHyphens/>
        <w:ind w:firstLine="709"/>
        <w:jc w:val="both"/>
      </w:pPr>
      <w:r w:rsidRPr="00B16D2B">
        <w:rPr>
          <w:color w:val="000000"/>
          <w:spacing w:val="8"/>
        </w:rPr>
        <w:t xml:space="preserve">В настоящее время в нашей стране предпринимаются попытки перехода </w:t>
      </w:r>
      <w:r w:rsidRPr="00B16D2B">
        <w:rPr>
          <w:color w:val="000000"/>
          <w:spacing w:val="8"/>
          <w:lang w:val="en-US"/>
        </w:rPr>
        <w:t>o</w:t>
      </w:r>
      <w:r w:rsidRPr="00B16D2B">
        <w:rPr>
          <w:color w:val="000000"/>
          <w:spacing w:val="8"/>
        </w:rPr>
        <w:t xml:space="preserve">т отраслевого принципа организации экономики к кластерной модели. </w:t>
      </w:r>
      <w:r w:rsidRPr="00B16D2B">
        <w:rPr>
          <w:color w:val="000000"/>
          <w:spacing w:val="1"/>
        </w:rPr>
        <w:t xml:space="preserve">В агроэкотуризме, который затрагивает более 20 различных отраслей </w:t>
      </w:r>
      <w:r w:rsidRPr="00B16D2B">
        <w:rPr>
          <w:color w:val="000000"/>
          <w:spacing w:val="5"/>
        </w:rPr>
        <w:t>это единственно возможная</w:t>
      </w:r>
      <w:r>
        <w:rPr>
          <w:color w:val="000000"/>
          <w:spacing w:val="5"/>
        </w:rPr>
        <w:t xml:space="preserve"> </w:t>
      </w:r>
      <w:r w:rsidRPr="00B16D2B">
        <w:rPr>
          <w:color w:val="000000"/>
          <w:spacing w:val="5"/>
        </w:rPr>
        <w:t xml:space="preserve">модель создания регионального туристической </w:t>
      </w:r>
      <w:r w:rsidRPr="00B16D2B">
        <w:rPr>
          <w:color w:val="000000"/>
        </w:rPr>
        <w:t xml:space="preserve">продукта. Зеленый маршрут — частный случай туристического кластера. </w:t>
      </w:r>
      <w:r w:rsidRPr="00B16D2B">
        <w:rPr>
          <w:color w:val="000000"/>
          <w:spacing w:val="-7"/>
        </w:rPr>
        <w:t>[2]</w:t>
      </w:r>
    </w:p>
    <w:p w:rsidR="00A0539B" w:rsidRPr="00B16D2B" w:rsidRDefault="00A0539B" w:rsidP="00A0539B">
      <w:pPr>
        <w:suppressAutoHyphens/>
        <w:ind w:firstLine="709"/>
        <w:jc w:val="both"/>
      </w:pPr>
      <w:r w:rsidRPr="00B16D2B">
        <w:rPr>
          <w:color w:val="000000"/>
          <w:spacing w:val="2"/>
        </w:rPr>
        <w:t>Для диверсификации предложения отдыха в деревне агроусадьбы были объединены в «зеленые марш</w:t>
      </w:r>
      <w:r w:rsidRPr="00B16D2B">
        <w:rPr>
          <w:color w:val="000000"/>
          <w:spacing w:val="1"/>
        </w:rPr>
        <w:t>руты». В Республике Беларусь действуют 4 сети «зеленых маршрутов»: «Голубое ожерелье Россон», «Игумен</w:t>
      </w:r>
      <w:r w:rsidRPr="00B16D2B">
        <w:rPr>
          <w:color w:val="000000"/>
          <w:spacing w:val="3"/>
        </w:rPr>
        <w:t xml:space="preserve">ские конные маршруты, «Край желтых кувшинок и седых валунов» (по Лепельскому району), «Неманский </w:t>
      </w:r>
      <w:r w:rsidRPr="00B16D2B">
        <w:rPr>
          <w:color w:val="000000"/>
          <w:spacing w:val="2"/>
        </w:rPr>
        <w:t>путь» (по Лидскому району).</w:t>
      </w:r>
    </w:p>
    <w:p w:rsidR="00A0539B" w:rsidRPr="00B16D2B" w:rsidRDefault="00A0539B" w:rsidP="00A0539B">
      <w:pPr>
        <w:suppressAutoHyphens/>
        <w:ind w:firstLine="709"/>
        <w:jc w:val="both"/>
      </w:pPr>
      <w:r w:rsidRPr="00B16D2B">
        <w:rPr>
          <w:color w:val="000000"/>
        </w:rPr>
        <w:t>Доход, полученный в 2010 году субъектами агроэкотуризма за предоставленные услуги в сфере агроэко</w:t>
      </w:r>
      <w:r w:rsidRPr="00B16D2B">
        <w:rPr>
          <w:color w:val="000000"/>
          <w:spacing w:val="2"/>
        </w:rPr>
        <w:t>туризма, увеличился по сравнению с 2009 годом в 1,9 раза и составил 10,025 млрд рублей.</w:t>
      </w:r>
    </w:p>
    <w:p w:rsidR="00A0539B" w:rsidRPr="00B16D2B" w:rsidRDefault="00A0539B" w:rsidP="00A0539B">
      <w:pPr>
        <w:pStyle w:val="ab"/>
        <w:suppressAutoHyphens/>
        <w:ind w:firstLine="709"/>
        <w:jc w:val="both"/>
      </w:pPr>
      <w:r w:rsidRPr="00B16D2B">
        <w:lastRenderedPageBreak/>
        <w:t>В Беларуси все еще не работают некоторые инструменты продвижения национального туристического продукта, которые широко применяются в мировой практике, практически не используются возможности интернет-пространства.</w:t>
      </w:r>
    </w:p>
    <w:p w:rsidR="00A0539B" w:rsidRPr="00B16D2B" w:rsidRDefault="00A0539B" w:rsidP="00A0539B">
      <w:pPr>
        <w:pStyle w:val="ab"/>
        <w:suppressAutoHyphens/>
        <w:ind w:firstLine="709"/>
        <w:jc w:val="both"/>
      </w:pPr>
      <w:r w:rsidRPr="00B16D2B">
        <w:t>Для того чтобы придать новый импульс формированию и развитию привлекательного туристического образа Беларуси, было принято решение посвящать каждый год определенному виду туризма или знаковому событию. Как сообщил директор Департамента по туризму Вадим Кармазин, 2013 год пройдет под знаком активного и «зеленого» туризма. В 2014 году состоятся мероприятия, объединенные идеей Чемпионата мира по хоккею, а 2015 год в белорусском туризме будет посвящен 70-летию Победы в Великой Отечественной войне.</w:t>
      </w:r>
    </w:p>
    <w:p w:rsidR="00A0539B" w:rsidRPr="00940668" w:rsidRDefault="00A0539B" w:rsidP="00A0539B">
      <w:pPr>
        <w:pStyle w:val="ab"/>
        <w:suppressAutoHyphens/>
        <w:ind w:firstLine="709"/>
        <w:jc w:val="both"/>
        <w:rPr>
          <w:i/>
        </w:rPr>
      </w:pPr>
      <w:r w:rsidRPr="00940668">
        <w:rPr>
          <w:i/>
        </w:rPr>
        <w:t>Литература:</w:t>
      </w:r>
    </w:p>
    <w:p w:rsidR="00A0539B" w:rsidRPr="00B16D2B" w:rsidRDefault="00A0539B" w:rsidP="00A0539B">
      <w:pPr>
        <w:pStyle w:val="1"/>
        <w:suppressAutoHyphens/>
        <w:ind w:left="0" w:firstLine="709"/>
        <w:jc w:val="both"/>
      </w:pPr>
      <w:r w:rsidRPr="00B16D2B">
        <w:t>1. Клицунова, В.А. Состояние и перспективы развития агротуризма в Беларуси / В.А.Клицунова // Эко- и агротуризм: перспективы развития на локальных территориях: материалы 3 Междунар. науч.-практ. конф., Барановичи, 18-19 мая 2011г. / Баранов. гос.ун-т, редкол.: В.Н.Зуев [и др.]</w:t>
      </w:r>
      <w:r w:rsidRPr="00B16D2B">
        <w:rPr>
          <w:color w:val="000000"/>
          <w:spacing w:val="3"/>
        </w:rPr>
        <w:t>.</w:t>
      </w:r>
      <w:r w:rsidRPr="00B16D2B">
        <w:t xml:space="preserve"> – Барановичи, 2011. –</w:t>
      </w:r>
      <w:r w:rsidRPr="00B16D2B">
        <w:rPr>
          <w:lang w:val="en-US"/>
        </w:rPr>
        <w:t>C</w:t>
      </w:r>
      <w:r w:rsidRPr="00B16D2B">
        <w:t>. 45-49.</w:t>
      </w:r>
    </w:p>
    <w:p w:rsidR="00A0539B" w:rsidRPr="00B16D2B" w:rsidRDefault="00A0539B" w:rsidP="00A0539B">
      <w:pPr>
        <w:pStyle w:val="1"/>
        <w:suppressAutoHyphens/>
        <w:ind w:left="0" w:firstLine="709"/>
        <w:jc w:val="both"/>
      </w:pPr>
      <w:r w:rsidRPr="00B16D2B">
        <w:rPr>
          <w:lang w:val="be-BY"/>
        </w:rPr>
        <w:t xml:space="preserve">2. </w:t>
      </w:r>
      <w:r w:rsidRPr="00B16D2B">
        <w:t>Лученок, С.А. Агротуризм: мировой опыт и развитие в Республике Беларусь / С.А.Лученок. - Минск: БГЭУ, – 2008.- 198с.</w:t>
      </w:r>
    </w:p>
    <w:p w:rsidR="004541CA" w:rsidRPr="00A0539B" w:rsidRDefault="004541CA" w:rsidP="00A0539B">
      <w:bookmarkStart w:id="0" w:name="_GoBack"/>
      <w:bookmarkEnd w:id="0"/>
    </w:p>
    <w:sectPr w:rsidR="004541CA" w:rsidRPr="00A0539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717" w:rsidRDefault="00666717" w:rsidP="00A03BCD">
      <w:pPr>
        <w:spacing w:line="240" w:lineRule="auto"/>
      </w:pPr>
      <w:r>
        <w:separator/>
      </w:r>
    </w:p>
  </w:endnote>
  <w:endnote w:type="continuationSeparator" w:id="0">
    <w:p w:rsidR="00666717" w:rsidRDefault="00666717"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717" w:rsidRDefault="00666717" w:rsidP="00A03BCD">
      <w:pPr>
        <w:spacing w:line="240" w:lineRule="auto"/>
      </w:pPr>
      <w:r>
        <w:separator/>
      </w:r>
    </w:p>
  </w:footnote>
  <w:footnote w:type="continuationSeparator" w:id="0">
    <w:p w:rsidR="00666717" w:rsidRDefault="00666717"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666717">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666717">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666717">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768"/>
    <w:multiLevelType w:val="hybridMultilevel"/>
    <w:tmpl w:val="E2CEA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3">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5">
    <w:nsid w:val="1F5F4556"/>
    <w:multiLevelType w:val="hybridMultilevel"/>
    <w:tmpl w:val="6172F1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4422058A"/>
    <w:multiLevelType w:val="hybridMultilevel"/>
    <w:tmpl w:val="7DE085F2"/>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43501E"/>
    <w:multiLevelType w:val="hybridMultilevel"/>
    <w:tmpl w:val="36C44F5E"/>
    <w:lvl w:ilvl="0" w:tplc="1DC46D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633C492B"/>
    <w:multiLevelType w:val="hybridMultilevel"/>
    <w:tmpl w:val="5FBC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17">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5">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7">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22"/>
    <w:lvlOverride w:ilvl="0"/>
    <w:lvlOverride w:ilvl="1"/>
    <w:lvlOverride w:ilvl="2"/>
    <w:lvlOverride w:ilvl="3"/>
    <w:lvlOverride w:ilvl="4"/>
    <w:lvlOverride w:ilvl="5"/>
    <w:lvlOverride w:ilvl="6"/>
    <w:lvlOverride w:ilvl="7"/>
    <w:lvlOverride w:ilvl="8"/>
  </w:num>
  <w:num w:numId="17">
    <w:abstractNumId w:val="24"/>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num>
  <w:num w:numId="22">
    <w:abstractNumId w:val="13"/>
  </w:num>
  <w:num w:numId="23">
    <w:abstractNumId w:val="3"/>
  </w:num>
  <w:num w:numId="24">
    <w:abstractNumId w:val="15"/>
  </w:num>
  <w:num w:numId="25">
    <w:abstractNumId w:val="11"/>
  </w:num>
  <w:num w:numId="26">
    <w:abstractNumId w:val="0"/>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C7859"/>
    <w:rsid w:val="000E6DB2"/>
    <w:rsid w:val="00166F7A"/>
    <w:rsid w:val="00176F5F"/>
    <w:rsid w:val="00196AAC"/>
    <w:rsid w:val="001E3E4A"/>
    <w:rsid w:val="0026074C"/>
    <w:rsid w:val="00260CEA"/>
    <w:rsid w:val="002930C0"/>
    <w:rsid w:val="002B3EF0"/>
    <w:rsid w:val="002B53A5"/>
    <w:rsid w:val="002D5A53"/>
    <w:rsid w:val="002D6DA5"/>
    <w:rsid w:val="00324500"/>
    <w:rsid w:val="003A0C75"/>
    <w:rsid w:val="003A414F"/>
    <w:rsid w:val="003B1388"/>
    <w:rsid w:val="003D552E"/>
    <w:rsid w:val="00404738"/>
    <w:rsid w:val="0040576D"/>
    <w:rsid w:val="00436670"/>
    <w:rsid w:val="00447728"/>
    <w:rsid w:val="004541CA"/>
    <w:rsid w:val="004A44A0"/>
    <w:rsid w:val="004B218B"/>
    <w:rsid w:val="004D0050"/>
    <w:rsid w:val="004D37FE"/>
    <w:rsid w:val="004F4DCC"/>
    <w:rsid w:val="00562D01"/>
    <w:rsid w:val="00573B78"/>
    <w:rsid w:val="00597BCB"/>
    <w:rsid w:val="005C7EE1"/>
    <w:rsid w:val="005D55F6"/>
    <w:rsid w:val="005F7630"/>
    <w:rsid w:val="00607F5B"/>
    <w:rsid w:val="0063525A"/>
    <w:rsid w:val="006472CF"/>
    <w:rsid w:val="00661969"/>
    <w:rsid w:val="00666717"/>
    <w:rsid w:val="00676015"/>
    <w:rsid w:val="006849B4"/>
    <w:rsid w:val="006B318F"/>
    <w:rsid w:val="006C382A"/>
    <w:rsid w:val="006D2C13"/>
    <w:rsid w:val="00706CEA"/>
    <w:rsid w:val="0070723C"/>
    <w:rsid w:val="00721FBD"/>
    <w:rsid w:val="00722060"/>
    <w:rsid w:val="00741930"/>
    <w:rsid w:val="00760852"/>
    <w:rsid w:val="00765DEE"/>
    <w:rsid w:val="00772B34"/>
    <w:rsid w:val="007733D7"/>
    <w:rsid w:val="00792493"/>
    <w:rsid w:val="007A43D3"/>
    <w:rsid w:val="007A4D3F"/>
    <w:rsid w:val="007C6BF1"/>
    <w:rsid w:val="007F131D"/>
    <w:rsid w:val="007F22D9"/>
    <w:rsid w:val="007F4C4A"/>
    <w:rsid w:val="00824E35"/>
    <w:rsid w:val="00843FB6"/>
    <w:rsid w:val="008877B6"/>
    <w:rsid w:val="0089711C"/>
    <w:rsid w:val="008B6CFF"/>
    <w:rsid w:val="008C782A"/>
    <w:rsid w:val="008E4910"/>
    <w:rsid w:val="008F1EDC"/>
    <w:rsid w:val="00900FDF"/>
    <w:rsid w:val="00912A9A"/>
    <w:rsid w:val="009314FF"/>
    <w:rsid w:val="00946D06"/>
    <w:rsid w:val="00990A03"/>
    <w:rsid w:val="00A007AC"/>
    <w:rsid w:val="00A01D7E"/>
    <w:rsid w:val="00A03BCD"/>
    <w:rsid w:val="00A0539B"/>
    <w:rsid w:val="00A14B3D"/>
    <w:rsid w:val="00A30C01"/>
    <w:rsid w:val="00A33884"/>
    <w:rsid w:val="00A44E9A"/>
    <w:rsid w:val="00A75F73"/>
    <w:rsid w:val="00B26A14"/>
    <w:rsid w:val="00B40E99"/>
    <w:rsid w:val="00B85B2C"/>
    <w:rsid w:val="00B90EC1"/>
    <w:rsid w:val="00BB1171"/>
    <w:rsid w:val="00C04E30"/>
    <w:rsid w:val="00C11101"/>
    <w:rsid w:val="00C328A0"/>
    <w:rsid w:val="00C762A9"/>
    <w:rsid w:val="00C80C74"/>
    <w:rsid w:val="00C87DB0"/>
    <w:rsid w:val="00CB589E"/>
    <w:rsid w:val="00CC7701"/>
    <w:rsid w:val="00D16D27"/>
    <w:rsid w:val="00D218CE"/>
    <w:rsid w:val="00D51B5E"/>
    <w:rsid w:val="00D66AB6"/>
    <w:rsid w:val="00D66BC6"/>
    <w:rsid w:val="00DB39A5"/>
    <w:rsid w:val="00DD35FD"/>
    <w:rsid w:val="00DD6F33"/>
    <w:rsid w:val="00DE267E"/>
    <w:rsid w:val="00DF1EA6"/>
    <w:rsid w:val="00E135C0"/>
    <w:rsid w:val="00E40AC0"/>
    <w:rsid w:val="00E469E1"/>
    <w:rsid w:val="00E634A3"/>
    <w:rsid w:val="00E6726A"/>
    <w:rsid w:val="00EC7FC7"/>
    <w:rsid w:val="00ED48A2"/>
    <w:rsid w:val="00ED6038"/>
    <w:rsid w:val="00FC5B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 w:type="character" w:styleId="ac">
    <w:name w:val="Hyperlink"/>
    <w:basedOn w:val="a0"/>
    <w:uiPriority w:val="99"/>
    <w:semiHidden/>
    <w:unhideWhenUsed/>
    <w:rsid w:val="00436670"/>
    <w:rPr>
      <w:color w:val="0000FF"/>
      <w:u w:val="single"/>
    </w:rPr>
  </w:style>
  <w:style w:type="paragraph" w:customStyle="1" w:styleId="Style1">
    <w:name w:val="Style1"/>
    <w:basedOn w:val="a"/>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d">
    <w:name w:val="No Spacing"/>
    <w:uiPriority w:val="1"/>
    <w:qFormat/>
    <w:rsid w:val="00741930"/>
    <w:pPr>
      <w:jc w:val="left"/>
    </w:pPr>
    <w:rPr>
      <w:rFonts w:ascii="Calibri" w:eastAsia="Calibri" w:hAnsi="Calibri" w:cs="Times New Roman"/>
      <w:lang w:val="ru-RU"/>
    </w:rPr>
  </w:style>
  <w:style w:type="paragraph" w:customStyle="1" w:styleId="author">
    <w:name w:val="author"/>
    <w:basedOn w:val="a"/>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e">
    <w:name w:val="List Paragraph"/>
    <w:basedOn w:val="a"/>
    <w:uiPriority w:val="34"/>
    <w:qFormat/>
    <w:rsid w:val="0089711C"/>
    <w:pPr>
      <w:spacing w:after="200"/>
      <w:ind w:left="720"/>
      <w:contextualSpacing/>
    </w:pPr>
    <w:rPr>
      <w:rFonts w:cs="Times New Roman"/>
      <w:lang w:eastAsia="en-US"/>
    </w:rPr>
  </w:style>
  <w:style w:type="character" w:styleId="af">
    <w:name w:val="Emphasis"/>
    <w:uiPriority w:val="20"/>
    <w:qFormat/>
    <w:rsid w:val="00FC5B32"/>
    <w:rPr>
      <w:i/>
      <w:iCs/>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 w:type="character" w:styleId="ac">
    <w:name w:val="Hyperlink"/>
    <w:basedOn w:val="a0"/>
    <w:uiPriority w:val="99"/>
    <w:semiHidden/>
    <w:unhideWhenUsed/>
    <w:rsid w:val="00436670"/>
    <w:rPr>
      <w:color w:val="0000FF"/>
      <w:u w:val="single"/>
    </w:rPr>
  </w:style>
  <w:style w:type="paragraph" w:customStyle="1" w:styleId="Style1">
    <w:name w:val="Style1"/>
    <w:basedOn w:val="a"/>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d">
    <w:name w:val="No Spacing"/>
    <w:uiPriority w:val="1"/>
    <w:qFormat/>
    <w:rsid w:val="00741930"/>
    <w:pPr>
      <w:jc w:val="left"/>
    </w:pPr>
    <w:rPr>
      <w:rFonts w:ascii="Calibri" w:eastAsia="Calibri" w:hAnsi="Calibri" w:cs="Times New Roman"/>
      <w:lang w:val="ru-RU"/>
    </w:rPr>
  </w:style>
  <w:style w:type="paragraph" w:customStyle="1" w:styleId="author">
    <w:name w:val="author"/>
    <w:basedOn w:val="a"/>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e">
    <w:name w:val="List Paragraph"/>
    <w:basedOn w:val="a"/>
    <w:uiPriority w:val="34"/>
    <w:qFormat/>
    <w:rsid w:val="0089711C"/>
    <w:pPr>
      <w:spacing w:after="200"/>
      <w:ind w:left="720"/>
      <w:contextualSpacing/>
    </w:pPr>
    <w:rPr>
      <w:rFonts w:cs="Times New Roman"/>
      <w:lang w:eastAsia="en-US"/>
    </w:rPr>
  </w:style>
  <w:style w:type="character" w:styleId="af">
    <w:name w:val="Emphasis"/>
    <w:uiPriority w:val="20"/>
    <w:qFormat/>
    <w:rsid w:val="00FC5B32"/>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e-B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50"/>
      <c:depthPercent val="100"/>
      <c:rAngAx val="1"/>
    </c:view3D>
    <c:floor>
      <c:thickness val="0"/>
    </c:floor>
    <c:sideWall>
      <c:thickness val="0"/>
    </c:sideWall>
    <c:backWall>
      <c:thickness val="0"/>
    </c:backWall>
    <c:plotArea>
      <c:layout>
        <c:manualLayout>
          <c:layoutTarget val="inner"/>
          <c:xMode val="edge"/>
          <c:yMode val="edge"/>
          <c:x val="3.4993838290806739E-2"/>
          <c:y val="8.1753737304576052E-2"/>
          <c:w val="0.90792581848321674"/>
          <c:h val="0.79286669039534408"/>
        </c:manualLayout>
      </c:layout>
      <c:bar3DChart>
        <c:barDir val="col"/>
        <c:grouping val="clustered"/>
        <c:varyColors val="0"/>
        <c:ser>
          <c:idx val="0"/>
          <c:order val="0"/>
          <c:tx>
            <c:strRef>
              <c:f>Лист1!$B$1</c:f>
              <c:strCache>
                <c:ptCount val="1"/>
                <c:pt idx="0">
                  <c:v>Ряд 1</c:v>
                </c:pt>
              </c:strCache>
            </c:strRef>
          </c:tx>
          <c:invertIfNegative val="0"/>
          <c:cat>
            <c:strRef>
              <c:f>Лист1!$A$2:$A$7</c:f>
              <c:strCache>
                <c:ptCount val="6"/>
                <c:pt idx="0">
                  <c:v>2010г.факт</c:v>
                </c:pt>
                <c:pt idx="1">
                  <c:v>2011г.</c:v>
                </c:pt>
                <c:pt idx="2">
                  <c:v>2012г.</c:v>
                </c:pt>
                <c:pt idx="3">
                  <c:v>2013г.</c:v>
                </c:pt>
                <c:pt idx="4">
                  <c:v>2014г.</c:v>
                </c:pt>
                <c:pt idx="5">
                  <c:v>2015г.</c:v>
                </c:pt>
              </c:strCache>
            </c:strRef>
          </c:cat>
          <c:val>
            <c:numRef>
              <c:f>Лист1!$B$2:$B$7</c:f>
              <c:numCache>
                <c:formatCode>General</c:formatCode>
                <c:ptCount val="6"/>
              </c:numCache>
            </c:numRef>
          </c:val>
        </c:ser>
        <c:ser>
          <c:idx val="1"/>
          <c:order val="1"/>
          <c:tx>
            <c:strRef>
              <c:f>Лист1!$C$1</c:f>
              <c:strCache>
                <c:ptCount val="1"/>
                <c:pt idx="0">
                  <c:v>Ряд 2</c:v>
                </c:pt>
              </c:strCache>
            </c:strRef>
          </c:tx>
          <c:invertIfNegative val="0"/>
          <c:cat>
            <c:strRef>
              <c:f>Лист1!$A$2:$A$7</c:f>
              <c:strCache>
                <c:ptCount val="6"/>
                <c:pt idx="0">
                  <c:v>2010г.факт</c:v>
                </c:pt>
                <c:pt idx="1">
                  <c:v>2011г.</c:v>
                </c:pt>
                <c:pt idx="2">
                  <c:v>2012г.</c:v>
                </c:pt>
                <c:pt idx="3">
                  <c:v>2013г.</c:v>
                </c:pt>
                <c:pt idx="4">
                  <c:v>2014г.</c:v>
                </c:pt>
                <c:pt idx="5">
                  <c:v>2015г.</c:v>
                </c:pt>
              </c:strCache>
            </c:strRef>
          </c:cat>
          <c:val>
            <c:numRef>
              <c:f>Лист1!$C$2:$C$7</c:f>
              <c:numCache>
                <c:formatCode>General</c:formatCode>
                <c:ptCount val="6"/>
                <c:pt idx="0">
                  <c:v>146.69999999999999</c:v>
                </c:pt>
                <c:pt idx="1">
                  <c:v>175</c:v>
                </c:pt>
                <c:pt idx="2">
                  <c:v>210</c:v>
                </c:pt>
                <c:pt idx="3">
                  <c:v>265</c:v>
                </c:pt>
                <c:pt idx="4">
                  <c:v>380</c:v>
                </c:pt>
                <c:pt idx="5">
                  <c:v>510</c:v>
                </c:pt>
              </c:numCache>
            </c:numRef>
          </c:val>
        </c:ser>
        <c:ser>
          <c:idx val="2"/>
          <c:order val="2"/>
          <c:tx>
            <c:strRef>
              <c:f>Лист1!$D$1</c:f>
              <c:strCache>
                <c:ptCount val="1"/>
                <c:pt idx="0">
                  <c:v>Ряд 3</c:v>
                </c:pt>
              </c:strCache>
            </c:strRef>
          </c:tx>
          <c:invertIfNegative val="0"/>
          <c:cat>
            <c:strRef>
              <c:f>Лист1!$A$2:$A$7</c:f>
              <c:strCache>
                <c:ptCount val="6"/>
                <c:pt idx="0">
                  <c:v>2010г.факт</c:v>
                </c:pt>
                <c:pt idx="1">
                  <c:v>2011г.</c:v>
                </c:pt>
                <c:pt idx="2">
                  <c:v>2012г.</c:v>
                </c:pt>
                <c:pt idx="3">
                  <c:v>2013г.</c:v>
                </c:pt>
                <c:pt idx="4">
                  <c:v>2014г.</c:v>
                </c:pt>
                <c:pt idx="5">
                  <c:v>2015г.</c:v>
                </c:pt>
              </c:strCache>
            </c:strRef>
          </c:cat>
          <c:val>
            <c:numRef>
              <c:f>Лист1!$D$2:$D$7</c:f>
              <c:numCache>
                <c:formatCode>General</c:formatCode>
                <c:ptCount val="6"/>
              </c:numCache>
            </c:numRef>
          </c:val>
        </c:ser>
        <c:dLbls>
          <c:showLegendKey val="0"/>
          <c:showVal val="1"/>
          <c:showCatName val="0"/>
          <c:showSerName val="0"/>
          <c:showPercent val="0"/>
          <c:showBubbleSize val="0"/>
        </c:dLbls>
        <c:gapWidth val="75"/>
        <c:shape val="box"/>
        <c:axId val="111325184"/>
        <c:axId val="263686976"/>
        <c:axId val="0"/>
      </c:bar3DChart>
      <c:catAx>
        <c:axId val="111325184"/>
        <c:scaling>
          <c:orientation val="minMax"/>
        </c:scaling>
        <c:delete val="0"/>
        <c:axPos val="b"/>
        <c:numFmt formatCode="General" sourceLinked="1"/>
        <c:majorTickMark val="none"/>
        <c:minorTickMark val="none"/>
        <c:tickLblPos val="nextTo"/>
        <c:crossAx val="263686976"/>
        <c:crosses val="autoZero"/>
        <c:auto val="1"/>
        <c:lblAlgn val="ctr"/>
        <c:lblOffset val="100"/>
        <c:noMultiLvlLbl val="0"/>
      </c:catAx>
      <c:valAx>
        <c:axId val="263686976"/>
        <c:scaling>
          <c:orientation val="minMax"/>
          <c:max val="500"/>
          <c:min val="0"/>
        </c:scaling>
        <c:delete val="0"/>
        <c:axPos val="r"/>
        <c:numFmt formatCode="General" sourceLinked="1"/>
        <c:majorTickMark val="none"/>
        <c:minorTickMark val="none"/>
        <c:tickLblPos val="nextTo"/>
        <c:crossAx val="111325184"/>
        <c:crosses val="max"/>
        <c:crossBetween val="between"/>
        <c:majorUnit val="100"/>
      </c:valAx>
      <c:spPr>
        <a:noFill/>
        <a:ln w="25413">
          <a:noFill/>
        </a:ln>
      </c:spPr>
    </c:plotArea>
    <c:plotVisOnly val="1"/>
    <c:dispBlanksAs val="gap"/>
    <c:showDLblsOverMax val="0"/>
  </c:chart>
  <c:spPr>
    <a:noFill/>
    <a:scene3d>
      <a:camera prst="orthographicFront"/>
      <a:lightRig rig="threePt" dir="t"/>
    </a:scene3d>
    <a:sp3d prstMaterial="dkEdge">
      <a:bevelT w="146050" h="158750"/>
      <a:bevelB w="50800"/>
    </a:sp3d>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DD86B36-088F-428B-8425-06882058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3</Pages>
  <Words>862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110</cp:revision>
  <dcterms:created xsi:type="dcterms:W3CDTF">2015-05-23T20:46:00Z</dcterms:created>
  <dcterms:modified xsi:type="dcterms:W3CDTF">2015-06-06T20:42:00Z</dcterms:modified>
</cp:coreProperties>
</file>