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CF" w:rsidRPr="00814D36" w:rsidRDefault="006472CF" w:rsidP="006472CF">
      <w:pPr>
        <w:suppressAutoHyphens/>
        <w:ind w:firstLine="709"/>
        <w:jc w:val="center"/>
        <w:rPr>
          <w:b/>
        </w:rPr>
      </w:pPr>
      <w:r w:rsidRPr="00814D36">
        <w:rPr>
          <w:b/>
        </w:rPr>
        <w:t>ОБЩАЯ ФИЗИЧЕСКАЯ ПОДГОТОВКА КАК ОСНОВА ПРЕДВАРИТЕЛЬНОЙ ПРОФЕССИОНАЛЬНОЙ ПОДГОТОВЛЕННОСТИ СТУДЕНТОВ МЛАДШИХ КУРСОВ ФАКУЛЬТЕТА ФИЗИЧЕСКОГО ВОСПИТАНИЯ</w:t>
      </w:r>
    </w:p>
    <w:p w:rsidR="006472CF" w:rsidRPr="00B16D2B" w:rsidRDefault="006472CF" w:rsidP="006472CF">
      <w:pPr>
        <w:suppressAutoHyphens/>
        <w:ind w:firstLine="709"/>
        <w:jc w:val="center"/>
      </w:pPr>
    </w:p>
    <w:p w:rsidR="006472CF" w:rsidRPr="00814D36" w:rsidRDefault="006472CF" w:rsidP="006472CF">
      <w:pPr>
        <w:suppressAutoHyphens/>
        <w:ind w:firstLine="709"/>
        <w:jc w:val="right"/>
        <w:rPr>
          <w:i/>
        </w:rPr>
      </w:pPr>
      <w:r w:rsidRPr="00814D36">
        <w:rPr>
          <w:i/>
        </w:rPr>
        <w:t>Войнило С.В., Макаренко В.А., Котловский А.В.</w:t>
      </w:r>
    </w:p>
    <w:p w:rsidR="006472CF" w:rsidRDefault="006472CF" w:rsidP="006472CF">
      <w:pPr>
        <w:suppressAutoHyphens/>
        <w:ind w:firstLine="709"/>
        <w:jc w:val="right"/>
        <w:rPr>
          <w:i/>
          <w:lang w:val="be-BY"/>
        </w:rPr>
      </w:pPr>
      <w:r w:rsidRPr="00814D36">
        <w:rPr>
          <w:i/>
        </w:rPr>
        <w:t>г</w:t>
      </w:r>
      <w:r w:rsidRPr="006472CF">
        <w:rPr>
          <w:i/>
          <w:lang w:val="en-US"/>
        </w:rPr>
        <w:t xml:space="preserve">. </w:t>
      </w:r>
      <w:r w:rsidRPr="00814D36">
        <w:rPr>
          <w:i/>
          <w:lang w:val="be-BY"/>
        </w:rPr>
        <w:t>Минск, Беларусь</w:t>
      </w:r>
    </w:p>
    <w:p w:rsidR="006472CF" w:rsidRPr="006472CF" w:rsidRDefault="006472CF" w:rsidP="006472CF">
      <w:pPr>
        <w:suppressAutoHyphens/>
        <w:ind w:firstLine="709"/>
        <w:jc w:val="right"/>
        <w:rPr>
          <w:i/>
          <w:lang w:val="en-US"/>
        </w:rPr>
      </w:pPr>
    </w:p>
    <w:p w:rsidR="006472CF" w:rsidRPr="006472CF" w:rsidRDefault="006472CF" w:rsidP="006472CF">
      <w:pPr>
        <w:suppressAutoHyphens/>
        <w:ind w:firstLine="709"/>
        <w:jc w:val="both"/>
        <w:rPr>
          <w:i/>
          <w:color w:val="000000"/>
          <w:lang w:val="en-US"/>
        </w:rPr>
      </w:pPr>
      <w:r w:rsidRPr="00FB79E6">
        <w:rPr>
          <w:i/>
          <w:color w:val="000000"/>
          <w:lang w:val="en-US"/>
        </w:rPr>
        <w:t>This article discusses the General physical training as the basis of the pre-vocational training of students of the faculty of physical education</w:t>
      </w:r>
    </w:p>
    <w:p w:rsidR="006472CF" w:rsidRPr="006472CF" w:rsidRDefault="006472CF" w:rsidP="006472CF">
      <w:pPr>
        <w:suppressAutoHyphens/>
        <w:ind w:firstLine="709"/>
        <w:jc w:val="both"/>
        <w:rPr>
          <w:i/>
          <w:lang w:val="en-US"/>
        </w:rPr>
      </w:pPr>
    </w:p>
    <w:p w:rsidR="006472CF" w:rsidRPr="00B16D2B" w:rsidRDefault="006472CF" w:rsidP="006472CF">
      <w:pPr>
        <w:suppressAutoHyphens/>
        <w:ind w:firstLine="709"/>
        <w:jc w:val="both"/>
      </w:pPr>
      <w:r w:rsidRPr="00B16D2B">
        <w:t>Качественная подготовка специалистов физической культуры определяется многими факторами, среди которых существенное значение имеет предварительная подготовленность в средней школе. По мнению Ковалева В.И. к факторам, «отрицательного воздействия», опосредующим профессиональную подготовленность будущего педагога по фи</w:t>
      </w:r>
      <w:r>
        <w:t>зической культуре, относятся «…</w:t>
      </w:r>
      <w:r w:rsidRPr="00B16D2B">
        <w:t>ограниченность распространения положительных результатов преемственности этапов профессионального физкультурного образования» и «… признаки отклонения от профессионально ориентированного развития педагога по физической культуре», с одной стороны, а также «неоднозначного влияния» - особенности первичного опыта «введения в педагогическую профессиональную деятельность», с другой стороны [1].</w:t>
      </w:r>
    </w:p>
    <w:p w:rsidR="006472CF" w:rsidRPr="00B16D2B" w:rsidRDefault="006472CF" w:rsidP="006472CF">
      <w:pPr>
        <w:suppressAutoHyphens/>
        <w:ind w:firstLine="709"/>
        <w:jc w:val="both"/>
      </w:pPr>
      <w:r w:rsidRPr="00B16D2B">
        <w:t>В определенной мере этапом профессионального физкультурного образования и введения в профессиональную педагогическую деятельность можно считать освоение учебного материала по физическому воспитанию в средней общеобразовательной школе. Подтверждением этого тезиса может быть положение Концепции учебного предмета «Физическая культура и здоровье», определяющее одним из основных направлений дифференцированного физического воспитания учащихся на третьей ступени общего среднего образования – «… физкультурное с выраженной предполагаемой профессионально-прикладной учебной или трудовой деятельностью» [2].</w:t>
      </w:r>
    </w:p>
    <w:p w:rsidR="006472CF" w:rsidRPr="00B16D2B" w:rsidRDefault="006472CF" w:rsidP="006472CF">
      <w:pPr>
        <w:suppressAutoHyphens/>
        <w:ind w:firstLine="709"/>
        <w:jc w:val="both"/>
      </w:pPr>
      <w:r w:rsidRPr="00B16D2B">
        <w:t>Полученные в средней общеобразовательной школе физкультурные знания, умения и навыки являются важнейшими детерминантами успешности профессионального становления студентов физкультурного профиля. Кроме них, [</w:t>
      </w:r>
      <w:r w:rsidRPr="00B16D2B">
        <w:rPr>
          <w:lang w:val="be-BY"/>
        </w:rPr>
        <w:t>3,4</w:t>
      </w:r>
      <w:r w:rsidRPr="00B16D2B">
        <w:t>]</w:t>
      </w:r>
      <w:r w:rsidRPr="00B16D2B">
        <w:rPr>
          <w:lang w:val="be-BY"/>
        </w:rPr>
        <w:t xml:space="preserve"> </w:t>
      </w:r>
      <w:r w:rsidRPr="00B16D2B">
        <w:t>называют показатели физического развития, физической подготовленности и уровни развития некоторых психических процессов и свойств личности. Среди последних заслуживают внимание мотивы поступления в вуз.</w:t>
      </w:r>
    </w:p>
    <w:p w:rsidR="006472CF" w:rsidRPr="00B16D2B" w:rsidRDefault="006472CF" w:rsidP="006472CF">
      <w:pPr>
        <w:suppressAutoHyphens/>
        <w:ind w:firstLine="709"/>
        <w:jc w:val="both"/>
      </w:pPr>
      <w:r w:rsidRPr="00B16D2B">
        <w:t>На наш взгляд, социально-ориентированные позитивные мотивы выбора профессии и поступления в вузы, в которых готовятся специалисты физкультурного профиля, могут успешно формироваться в средней школе при условии качественно организованного и профессионально сориентированного процесса физического воспитания учащихся старших классов. Такой учебный процесс будет побуждать школьников добротно осваивать физкультурный учебный материал. Значительное стимулирующее влияние на полноценное освоение потенциала</w:t>
      </w:r>
      <w:r>
        <w:t xml:space="preserve"> </w:t>
      </w:r>
      <w:r w:rsidRPr="00B16D2B">
        <w:t>физкультурных занятий в средней школе и создание условий для предварительной профессиональной подготовки призван оказывать выпускной экзамен по физической культуре. Следует отметить, что основными задачами этого экзамена являются:</w:t>
      </w:r>
    </w:p>
    <w:p w:rsidR="006472CF" w:rsidRPr="00B16D2B" w:rsidRDefault="006472CF" w:rsidP="006472CF">
      <w:pPr>
        <w:suppressAutoHyphens/>
        <w:ind w:firstLine="709"/>
        <w:jc w:val="both"/>
      </w:pPr>
      <w:r w:rsidRPr="00B16D2B">
        <w:t>- совершенствование образовательного процесса по физическому воспитанию в учреждениях образования;</w:t>
      </w:r>
    </w:p>
    <w:p w:rsidR="006472CF" w:rsidRPr="00B16D2B" w:rsidRDefault="006472CF" w:rsidP="006472CF">
      <w:pPr>
        <w:suppressAutoHyphens/>
        <w:ind w:firstLine="709"/>
        <w:jc w:val="both"/>
      </w:pPr>
      <w:r w:rsidRPr="00B16D2B">
        <w:t>- ориентация учащихся на выбор педагогической профессии, связанной с физической культурой [5].</w:t>
      </w:r>
    </w:p>
    <w:p w:rsidR="006472CF" w:rsidRPr="00B16D2B" w:rsidRDefault="006472CF" w:rsidP="006472CF">
      <w:pPr>
        <w:suppressAutoHyphens/>
        <w:ind w:firstLine="709"/>
        <w:jc w:val="both"/>
      </w:pPr>
      <w:r w:rsidRPr="00B16D2B">
        <w:lastRenderedPageBreak/>
        <w:t>Исходя из отмеченного, представляет интерес выявить в какой мере будущие специалисты-студенты младших курсов факультета физического воспитания во время учебы в средней школе получили предварительную профессиональную подготовку, что и явилось целью нашего исследования.</w:t>
      </w:r>
    </w:p>
    <w:p w:rsidR="006472CF" w:rsidRPr="00B16D2B" w:rsidRDefault="006472CF" w:rsidP="006472CF">
      <w:pPr>
        <w:suppressAutoHyphens/>
        <w:ind w:firstLine="709"/>
        <w:jc w:val="both"/>
      </w:pPr>
      <w:r w:rsidRPr="00B16D2B">
        <w:t>Нами были сформулированы две задачи этой работы:</w:t>
      </w:r>
    </w:p>
    <w:p w:rsidR="006472CF" w:rsidRPr="00B16D2B" w:rsidRDefault="006472CF" w:rsidP="006472CF">
      <w:pPr>
        <w:suppressAutoHyphens/>
        <w:ind w:firstLine="709"/>
        <w:jc w:val="both"/>
      </w:pPr>
      <w:r w:rsidRPr="00B16D2B">
        <w:t>- определить степень общей физической подготовленности, как одной из характеристик сформированности двигательных умений и навыков выпускника средней школы;</w:t>
      </w:r>
    </w:p>
    <w:p w:rsidR="006472CF" w:rsidRPr="00B16D2B" w:rsidRDefault="006472CF" w:rsidP="006472CF">
      <w:pPr>
        <w:suppressAutoHyphens/>
        <w:ind w:firstLine="709"/>
        <w:jc w:val="both"/>
      </w:pPr>
      <w:r w:rsidRPr="00B16D2B">
        <w:t>- уточнить отношение исследуемого контингента к выпускному экзамену по учебному предмету «Физическая культура и здоровье».</w:t>
      </w:r>
    </w:p>
    <w:p w:rsidR="006472CF" w:rsidRPr="00B16D2B" w:rsidRDefault="006472CF" w:rsidP="006472CF">
      <w:pPr>
        <w:suppressAutoHyphens/>
        <w:ind w:firstLine="709"/>
        <w:jc w:val="both"/>
      </w:pPr>
      <w:r w:rsidRPr="00B16D2B">
        <w:t>Для решения первой задачи нами было проведено тестирование студентов первого курса факультета физического воспитания БГПУ по контрольным упражнениям, определяющим степень общей физической подготовленности. Тестированию было подвергнуто 100 студентов (девушки и юноши). Из всех нормативов определяющих степень общей физической подготовленности включенных, в экзамен по физической культуре, в качестве тестов были выбраны прыжок в длину с места, челночный бег и наклон вперед из положения сидя. Выбор этих тестов был сделан еще и потому, что они оцениваются объективными критериями.</w:t>
      </w:r>
    </w:p>
    <w:p w:rsidR="006472CF" w:rsidRPr="00B16D2B" w:rsidRDefault="006472CF" w:rsidP="006472CF">
      <w:pPr>
        <w:suppressAutoHyphens/>
        <w:ind w:firstLine="709"/>
        <w:jc w:val="both"/>
      </w:pPr>
      <w:r w:rsidRPr="00B16D2B">
        <w:t>Процедура тестирования соответствовала условиям проведения экзамена по физической культуре. Проверка выполнения требований экзамена, предъявляемых к двигательным умениям и навыкам, позволила получить данные, отражающие их сформированность.</w:t>
      </w:r>
    </w:p>
    <w:p w:rsidR="006472CF" w:rsidRPr="00B16D2B" w:rsidRDefault="006472CF" w:rsidP="006472CF">
      <w:pPr>
        <w:suppressAutoHyphens/>
        <w:ind w:firstLine="709"/>
        <w:jc w:val="both"/>
      </w:pPr>
      <w:r w:rsidRPr="00B16D2B">
        <w:t>В результате проведенных исследований было выявлено, что отличные оценки (9,10 баллов) в прыжках в длину с места получили 12% студентов, а в челночном беге и наклоне вперед из положения сидя 11%, хорошие (6-8 баллов) – 53, 49 и 45% соответственно, удовлетворительные (4,5 баллов) – 34, 37 и 42%, неудовлетворительные – 1, 3 и 4%. На первый взгляд результаты можно расценивать ободряюще, поскольку подавляющее большинство студентов оценены положительно.</w:t>
      </w:r>
    </w:p>
    <w:p w:rsidR="006472CF" w:rsidRPr="00B16D2B" w:rsidRDefault="006472CF" w:rsidP="006472CF">
      <w:pPr>
        <w:suppressAutoHyphens/>
        <w:ind w:firstLine="709"/>
        <w:jc w:val="both"/>
      </w:pPr>
      <w:r w:rsidRPr="00B16D2B">
        <w:t>Однако, если итоги тестирования рассматривать в абсолютных показателях (средний бал за три теста), то картина оказывается не настолько успокаивающей, о чем свидетельствует диаграмма результативности попаданий штрафных бросков и бросков со средней дистанции и количества студентов, показавший определенные результаты. (Рис.1).</w:t>
      </w:r>
    </w:p>
    <w:p w:rsidR="006472CF" w:rsidRPr="00B16D2B" w:rsidRDefault="006472CF" w:rsidP="006472CF">
      <w:pPr>
        <w:keepNext/>
        <w:suppressAutoHyphens/>
        <w:ind w:firstLine="709"/>
        <w:jc w:val="both"/>
      </w:pPr>
      <w:r>
        <w:rPr>
          <w:noProof/>
          <w:lang w:val="be-BY" w:eastAsia="be-BY"/>
        </w:rPr>
        <w:lastRenderedPageBreak/>
        <w:drawing>
          <wp:inline distT="0" distB="0" distL="0" distR="0">
            <wp:extent cx="5619750" cy="4133850"/>
            <wp:effectExtent l="0" t="0" r="0" b="0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472CF" w:rsidRPr="00B16D2B" w:rsidRDefault="006472CF" w:rsidP="006472CF">
      <w:pPr>
        <w:suppressAutoHyphens/>
        <w:ind w:firstLine="709"/>
        <w:jc w:val="both"/>
      </w:pPr>
      <w:r>
        <w:t>Рисунок 1 – Р</w:t>
      </w:r>
      <w:r w:rsidRPr="00B16D2B">
        <w:t>аспределение среднего балла</w:t>
      </w:r>
      <w:r>
        <w:t xml:space="preserve"> по трем нормативам</w:t>
      </w:r>
      <w:r w:rsidRPr="00B16D2B">
        <w:t>.</w:t>
      </w:r>
    </w:p>
    <w:p w:rsidR="006472CF" w:rsidRPr="00B16D2B" w:rsidRDefault="006472CF" w:rsidP="006472CF">
      <w:pPr>
        <w:suppressAutoHyphens/>
        <w:ind w:firstLine="709"/>
        <w:jc w:val="both"/>
      </w:pPr>
    </w:p>
    <w:p w:rsidR="006472CF" w:rsidRPr="00B16D2B" w:rsidRDefault="006472CF" w:rsidP="006472CF">
      <w:pPr>
        <w:suppressAutoHyphens/>
        <w:ind w:firstLine="709"/>
        <w:jc w:val="both"/>
      </w:pPr>
      <w:r w:rsidRPr="00B16D2B">
        <w:t>Анализ результатов, рассматриваемых из этих позиций, свидетельствует о том, что только 21% от общего числа обследованных показали пятидесятипроцентную и выше результативность по степени физической подготовленности. Это означает, что они, обучая образцам как необходимо выполнять то или иное движение, в каком либо виде деятельности, смогут продемонстрировать его с первой или второй попытки. Подавляющее же большинство студентов вероятнее всего продемонстрирует движение с третьей, четвертой и большего числа попыток и, следовательно, не могут быть примером для подражания.</w:t>
      </w:r>
    </w:p>
    <w:p w:rsidR="006472CF" w:rsidRPr="00B16D2B" w:rsidRDefault="006472CF" w:rsidP="006472CF">
      <w:pPr>
        <w:suppressAutoHyphens/>
        <w:ind w:firstLine="709"/>
        <w:jc w:val="both"/>
      </w:pPr>
      <w:r w:rsidRPr="00B16D2B">
        <w:t>Решение второй задачи осуществлялось путем опроса 129 студентов первого и второго курсов и дальнейшего анализа полученных результатов. Выяснялось отношение этих студентов к выпускному экзамену по физической культуре в средней школе. По результатам проведенного исследования выявлено, что только 19% студентов сдавали выпускной экзамен, хотя 77% опрошенных считают проведение такого экзамена правильным и необходимым. Среди причин неучастия большинства студентов в профильном для них экзамене 68% ответили, что у них в школе такой экзамен не был предусмотрен, 2% оканчивали училище олимпийского резерва и у них также не проводился экзамен. Остальные студенты сдавали другой экзамен по выбору, так как по другим учебным предметам они посчитали себя более подготовленными.</w:t>
      </w:r>
    </w:p>
    <w:p w:rsidR="006472CF" w:rsidRPr="00B16D2B" w:rsidRDefault="006472CF" w:rsidP="006472CF">
      <w:pPr>
        <w:suppressAutoHyphens/>
        <w:ind w:firstLine="709"/>
        <w:jc w:val="both"/>
      </w:pPr>
      <w:r w:rsidRPr="00B16D2B">
        <w:t>Выводы:</w:t>
      </w:r>
    </w:p>
    <w:p w:rsidR="006472CF" w:rsidRPr="00B16D2B" w:rsidRDefault="006472CF" w:rsidP="006472CF">
      <w:pPr>
        <w:suppressAutoHyphens/>
        <w:ind w:firstLine="709"/>
        <w:jc w:val="both"/>
      </w:pPr>
      <w:r w:rsidRPr="00B16D2B">
        <w:t>1. Невысокие показатели в степени общей физической подготовленности у большинства недавних школьниках свидетельствует о низком уровне стартовых позиций профессиональной готовности.</w:t>
      </w:r>
    </w:p>
    <w:p w:rsidR="006472CF" w:rsidRPr="00B16D2B" w:rsidRDefault="006472CF" w:rsidP="006472CF">
      <w:pPr>
        <w:suppressAutoHyphens/>
        <w:ind w:firstLine="709"/>
        <w:jc w:val="both"/>
      </w:pPr>
      <w:r w:rsidRPr="00B16D2B">
        <w:lastRenderedPageBreak/>
        <w:t>2. Осознание такого состояния должно послужить стимулом для изменения отношения студентов к освоению в университете двигательных умений и навыков, что требует проведению дополнительного изучения.</w:t>
      </w:r>
    </w:p>
    <w:p w:rsidR="006472CF" w:rsidRPr="00B16D2B" w:rsidRDefault="006472CF" w:rsidP="006472CF">
      <w:pPr>
        <w:suppressAutoHyphens/>
        <w:ind w:firstLine="709"/>
        <w:jc w:val="both"/>
      </w:pPr>
      <w:r w:rsidRPr="00B16D2B">
        <w:t>3. Введение экзамена по физической культуре в средней школе одобряют большинство студентов факультета физического воспитания, однако участие в нем не является для них фактором, определяющим выбор профессии, социально значимое мотивированное отношение к более качественному освоению всего потенциала физического воспитания в школе.</w:t>
      </w:r>
    </w:p>
    <w:p w:rsidR="006472CF" w:rsidRPr="00B16D2B" w:rsidRDefault="006472CF" w:rsidP="006472CF">
      <w:pPr>
        <w:suppressAutoHyphens/>
        <w:ind w:firstLine="709"/>
        <w:jc w:val="both"/>
      </w:pPr>
      <w:r w:rsidRPr="00B16D2B">
        <w:t>4. Преподавателям, осуществляющим педагогический процесс в дисциплинах спортивно-педагогического цикла, необходимо проводить изучения предварительной подготовленности студентов в этих учебных предметах и применять дифференцированное обучение в зависимости от уровня сформированности умений и навыков в спортивных упражнениях.</w:t>
      </w:r>
    </w:p>
    <w:p w:rsidR="006472CF" w:rsidRPr="00B16D2B" w:rsidRDefault="006472CF" w:rsidP="006472CF">
      <w:pPr>
        <w:suppressAutoHyphens/>
        <w:ind w:firstLine="709"/>
        <w:jc w:val="center"/>
      </w:pPr>
    </w:p>
    <w:p w:rsidR="006472CF" w:rsidRPr="00940668" w:rsidRDefault="006472CF" w:rsidP="006472CF">
      <w:pPr>
        <w:suppressAutoHyphens/>
        <w:ind w:firstLine="709"/>
        <w:jc w:val="both"/>
        <w:rPr>
          <w:i/>
        </w:rPr>
      </w:pPr>
      <w:r w:rsidRPr="00940668">
        <w:rPr>
          <w:i/>
        </w:rPr>
        <w:t>Литература:</w:t>
      </w:r>
    </w:p>
    <w:p w:rsidR="006472CF" w:rsidRPr="00B16D2B" w:rsidRDefault="006472CF" w:rsidP="006472CF">
      <w:pPr>
        <w:suppressAutoHyphens/>
        <w:ind w:firstLine="426"/>
        <w:jc w:val="both"/>
      </w:pPr>
      <w:r w:rsidRPr="00B16D2B">
        <w:t>1. Ковалев В.И. Становление профессиональной подготовленности будущего педагога по физической культуре. Ф.К. : восп., обр., тр-ка, №4, 2009, с.6</w:t>
      </w:r>
    </w:p>
    <w:p w:rsidR="006472CF" w:rsidRPr="00B16D2B" w:rsidRDefault="006472CF" w:rsidP="006472CF">
      <w:pPr>
        <w:suppressAutoHyphens/>
        <w:ind w:firstLine="426"/>
        <w:jc w:val="both"/>
        <w:rPr>
          <w:lang w:val="be-BY"/>
        </w:rPr>
      </w:pPr>
      <w:r w:rsidRPr="00B16D2B">
        <w:t xml:space="preserve">2. Концепция учебного предмета «Физическая культура и здоровье». </w:t>
      </w:r>
      <w:r w:rsidRPr="00B16D2B">
        <w:rPr>
          <w:lang w:val="be-BY"/>
        </w:rPr>
        <w:t>Фізічная культура і здароўе. – 2009. - №3. – с.3.</w:t>
      </w:r>
    </w:p>
    <w:p w:rsidR="006472CF" w:rsidRPr="00B16D2B" w:rsidRDefault="006472CF" w:rsidP="006472CF">
      <w:pPr>
        <w:suppressAutoHyphens/>
        <w:ind w:firstLine="426"/>
        <w:jc w:val="both"/>
      </w:pPr>
      <w:r w:rsidRPr="00B16D2B">
        <w:rPr>
          <w:lang w:val="be-BY"/>
        </w:rPr>
        <w:t xml:space="preserve">3.Ахметов С.М. </w:t>
      </w:r>
      <w:r w:rsidRPr="00B16D2B">
        <w:t>Мотивы и потребности абитуриентов, поступающих в педагогический колледж. / С.М.Ахметов // Среднее профессиональное образование. - 2003. - №7. – с.48-51.</w:t>
      </w:r>
    </w:p>
    <w:p w:rsidR="006472CF" w:rsidRPr="00B16D2B" w:rsidRDefault="006472CF" w:rsidP="006472CF">
      <w:pPr>
        <w:suppressAutoHyphens/>
        <w:ind w:firstLine="426"/>
        <w:jc w:val="both"/>
      </w:pPr>
      <w:r w:rsidRPr="00B16D2B">
        <w:t>4.Журбенко Н.Б. Отбор и адаптация к обучению студентов колледжей физической культуры на основе учета профессионально значимых качеств личности: автореф. / Н.Б.Журбенко. – Краснодар. – 2000. – 22с.</w:t>
      </w:r>
    </w:p>
    <w:p w:rsidR="006472CF" w:rsidRPr="00B16D2B" w:rsidRDefault="006472CF" w:rsidP="006472CF">
      <w:pPr>
        <w:suppressAutoHyphens/>
        <w:ind w:firstLine="426"/>
        <w:jc w:val="both"/>
      </w:pPr>
      <w:r w:rsidRPr="00B16D2B">
        <w:t xml:space="preserve">5. «О проведении экзамена по учебному предмету «Физическая культура и здоровье»» // </w:t>
      </w:r>
      <w:r w:rsidRPr="00B16D2B">
        <w:rPr>
          <w:lang w:val="be-BY"/>
        </w:rPr>
        <w:t>Фізічная культура і здароўе</w:t>
      </w:r>
      <w:r w:rsidRPr="00B16D2B">
        <w:t>. – 2009. - №1. – с.3-7.</w:t>
      </w:r>
    </w:p>
    <w:p w:rsidR="004541CA" w:rsidRPr="006472CF" w:rsidRDefault="004541CA" w:rsidP="006472CF">
      <w:bookmarkStart w:id="0" w:name="_GoBack"/>
      <w:bookmarkEnd w:id="0"/>
    </w:p>
    <w:sectPr w:rsidR="004541CA" w:rsidRPr="006472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CE1" w:rsidRDefault="00F97CE1" w:rsidP="00A03BCD">
      <w:pPr>
        <w:spacing w:line="240" w:lineRule="auto"/>
      </w:pPr>
      <w:r>
        <w:separator/>
      </w:r>
    </w:p>
  </w:endnote>
  <w:endnote w:type="continuationSeparator" w:id="0">
    <w:p w:rsidR="00F97CE1" w:rsidRDefault="00F97CE1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CE1" w:rsidRDefault="00F97CE1" w:rsidP="00A03BCD">
      <w:pPr>
        <w:spacing w:line="240" w:lineRule="auto"/>
      </w:pPr>
      <w:r>
        <w:separator/>
      </w:r>
    </w:p>
  </w:footnote>
  <w:footnote w:type="continuationSeparator" w:id="0">
    <w:p w:rsidR="00F97CE1" w:rsidRDefault="00F97CE1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F97CE1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F97CE1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F97CE1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768"/>
    <w:multiLevelType w:val="hybridMultilevel"/>
    <w:tmpl w:val="E2CEA3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761DFF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B4D3EDF"/>
    <w:multiLevelType w:val="hybridMultilevel"/>
    <w:tmpl w:val="76E6C282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0BBB42A6"/>
    <w:multiLevelType w:val="hybridMultilevel"/>
    <w:tmpl w:val="5C34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5449F"/>
    <w:multiLevelType w:val="hybridMultilevel"/>
    <w:tmpl w:val="9B5A50AE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>
    <w:nsid w:val="1F5F4556"/>
    <w:multiLevelType w:val="hybridMultilevel"/>
    <w:tmpl w:val="6172F1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3BE756B"/>
    <w:multiLevelType w:val="hybridMultilevel"/>
    <w:tmpl w:val="B13A772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C8A6D78"/>
    <w:multiLevelType w:val="hybridMultilevel"/>
    <w:tmpl w:val="8E60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25C7A"/>
    <w:multiLevelType w:val="multilevel"/>
    <w:tmpl w:val="2094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A657128"/>
    <w:multiLevelType w:val="hybridMultilevel"/>
    <w:tmpl w:val="D8B6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22058A"/>
    <w:multiLevelType w:val="hybridMultilevel"/>
    <w:tmpl w:val="7DE08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43501E"/>
    <w:multiLevelType w:val="hybridMultilevel"/>
    <w:tmpl w:val="36C44F5E"/>
    <w:lvl w:ilvl="0" w:tplc="1DC46D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8663B"/>
    <w:multiLevelType w:val="hybridMultilevel"/>
    <w:tmpl w:val="03B0DBC6"/>
    <w:lvl w:ilvl="0" w:tplc="AE9040F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717CA0"/>
    <w:multiLevelType w:val="hybridMultilevel"/>
    <w:tmpl w:val="C0B2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33DAA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33C492B"/>
    <w:multiLevelType w:val="hybridMultilevel"/>
    <w:tmpl w:val="5FBC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0F2E58"/>
    <w:multiLevelType w:val="hybridMultilevel"/>
    <w:tmpl w:val="2F12462C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7">
    <w:nsid w:val="65721A5A"/>
    <w:multiLevelType w:val="hybridMultilevel"/>
    <w:tmpl w:val="29AC03A8"/>
    <w:lvl w:ilvl="0" w:tplc="A912AC76">
      <w:numFmt w:val="bullet"/>
      <w:lvlText w:val="—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>
    <w:nsid w:val="66CD10CF"/>
    <w:multiLevelType w:val="hybridMultilevel"/>
    <w:tmpl w:val="764483BA"/>
    <w:lvl w:ilvl="0" w:tplc="93B4030E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6B381CDA"/>
    <w:multiLevelType w:val="hybridMultilevel"/>
    <w:tmpl w:val="25963B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0746A40"/>
    <w:multiLevelType w:val="hybridMultilevel"/>
    <w:tmpl w:val="69EAB41A"/>
    <w:lvl w:ilvl="0" w:tplc="5A60747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7367788B"/>
    <w:multiLevelType w:val="hybridMultilevel"/>
    <w:tmpl w:val="63E4B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7902830"/>
    <w:multiLevelType w:val="hybridMultilevel"/>
    <w:tmpl w:val="C388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BB13B6"/>
    <w:multiLevelType w:val="hybridMultilevel"/>
    <w:tmpl w:val="CF0E0732"/>
    <w:lvl w:ilvl="0" w:tplc="92F65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9CA03C3"/>
    <w:multiLevelType w:val="hybridMultilevel"/>
    <w:tmpl w:val="1278D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BDA23D0"/>
    <w:multiLevelType w:val="hybridMultilevel"/>
    <w:tmpl w:val="D4F4360A"/>
    <w:lvl w:ilvl="0" w:tplc="5FB65802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7C8438CD"/>
    <w:multiLevelType w:val="multilevel"/>
    <w:tmpl w:val="722A49C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7CD82C00"/>
    <w:multiLevelType w:val="hybridMultilevel"/>
    <w:tmpl w:val="7A38127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3"/>
  </w:num>
  <w:num w:numId="22">
    <w:abstractNumId w:val="13"/>
  </w:num>
  <w:num w:numId="23">
    <w:abstractNumId w:val="3"/>
  </w:num>
  <w:num w:numId="24">
    <w:abstractNumId w:val="15"/>
  </w:num>
  <w:num w:numId="25">
    <w:abstractNumId w:val="11"/>
  </w:num>
  <w:num w:numId="26">
    <w:abstractNumId w:val="0"/>
  </w:num>
  <w:num w:numId="27">
    <w:abstractNumId w:val="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0140D7"/>
    <w:rsid w:val="00033473"/>
    <w:rsid w:val="000C7859"/>
    <w:rsid w:val="000E6DB2"/>
    <w:rsid w:val="00166F7A"/>
    <w:rsid w:val="00176F5F"/>
    <w:rsid w:val="00196AAC"/>
    <w:rsid w:val="001E3E4A"/>
    <w:rsid w:val="0026074C"/>
    <w:rsid w:val="00260CEA"/>
    <w:rsid w:val="002930C0"/>
    <w:rsid w:val="002B3EF0"/>
    <w:rsid w:val="002B53A5"/>
    <w:rsid w:val="002D5A53"/>
    <w:rsid w:val="002D6DA5"/>
    <w:rsid w:val="00324500"/>
    <w:rsid w:val="003A0C75"/>
    <w:rsid w:val="003A414F"/>
    <w:rsid w:val="003B1388"/>
    <w:rsid w:val="003D552E"/>
    <w:rsid w:val="00404738"/>
    <w:rsid w:val="0040576D"/>
    <w:rsid w:val="00436670"/>
    <w:rsid w:val="00447728"/>
    <w:rsid w:val="004541CA"/>
    <w:rsid w:val="004A44A0"/>
    <w:rsid w:val="004B218B"/>
    <w:rsid w:val="004D0050"/>
    <w:rsid w:val="004D37FE"/>
    <w:rsid w:val="004F4DCC"/>
    <w:rsid w:val="00562D01"/>
    <w:rsid w:val="00573B78"/>
    <w:rsid w:val="00597BCB"/>
    <w:rsid w:val="005C7EE1"/>
    <w:rsid w:val="005D55F6"/>
    <w:rsid w:val="005F7630"/>
    <w:rsid w:val="00607F5B"/>
    <w:rsid w:val="0063525A"/>
    <w:rsid w:val="006472CF"/>
    <w:rsid w:val="00661969"/>
    <w:rsid w:val="00676015"/>
    <w:rsid w:val="006849B4"/>
    <w:rsid w:val="006B318F"/>
    <w:rsid w:val="006C382A"/>
    <w:rsid w:val="006D2C13"/>
    <w:rsid w:val="00706CEA"/>
    <w:rsid w:val="0070723C"/>
    <w:rsid w:val="00721FBD"/>
    <w:rsid w:val="00722060"/>
    <w:rsid w:val="00741930"/>
    <w:rsid w:val="00760852"/>
    <w:rsid w:val="00765DEE"/>
    <w:rsid w:val="00772B34"/>
    <w:rsid w:val="007733D7"/>
    <w:rsid w:val="00792493"/>
    <w:rsid w:val="007A43D3"/>
    <w:rsid w:val="007A4D3F"/>
    <w:rsid w:val="007C6BF1"/>
    <w:rsid w:val="007F131D"/>
    <w:rsid w:val="007F22D9"/>
    <w:rsid w:val="007F4C4A"/>
    <w:rsid w:val="00824E35"/>
    <w:rsid w:val="00843FB6"/>
    <w:rsid w:val="008877B6"/>
    <w:rsid w:val="0089711C"/>
    <w:rsid w:val="008B6CFF"/>
    <w:rsid w:val="008C782A"/>
    <w:rsid w:val="008E4910"/>
    <w:rsid w:val="008F1EDC"/>
    <w:rsid w:val="00900FDF"/>
    <w:rsid w:val="00912A9A"/>
    <w:rsid w:val="009314FF"/>
    <w:rsid w:val="00946D06"/>
    <w:rsid w:val="00990A03"/>
    <w:rsid w:val="00A007AC"/>
    <w:rsid w:val="00A01D7E"/>
    <w:rsid w:val="00A03BCD"/>
    <w:rsid w:val="00A14B3D"/>
    <w:rsid w:val="00A30C01"/>
    <w:rsid w:val="00A33884"/>
    <w:rsid w:val="00A44E9A"/>
    <w:rsid w:val="00A75F73"/>
    <w:rsid w:val="00B26A14"/>
    <w:rsid w:val="00B40E99"/>
    <w:rsid w:val="00B85B2C"/>
    <w:rsid w:val="00B90EC1"/>
    <w:rsid w:val="00BB1171"/>
    <w:rsid w:val="00C04E30"/>
    <w:rsid w:val="00C11101"/>
    <w:rsid w:val="00C328A0"/>
    <w:rsid w:val="00C762A9"/>
    <w:rsid w:val="00C80C74"/>
    <w:rsid w:val="00C87DB0"/>
    <w:rsid w:val="00CB589E"/>
    <w:rsid w:val="00CC7701"/>
    <w:rsid w:val="00D16D27"/>
    <w:rsid w:val="00D218CE"/>
    <w:rsid w:val="00D51B5E"/>
    <w:rsid w:val="00D66AB6"/>
    <w:rsid w:val="00D66BC6"/>
    <w:rsid w:val="00DB39A5"/>
    <w:rsid w:val="00DD35FD"/>
    <w:rsid w:val="00DD6F33"/>
    <w:rsid w:val="00DE267E"/>
    <w:rsid w:val="00DF1EA6"/>
    <w:rsid w:val="00E135C0"/>
    <w:rsid w:val="00E40AC0"/>
    <w:rsid w:val="00E469E1"/>
    <w:rsid w:val="00E634A3"/>
    <w:rsid w:val="00E6726A"/>
    <w:rsid w:val="00EC7FC7"/>
    <w:rsid w:val="00ED48A2"/>
    <w:rsid w:val="00ED6038"/>
    <w:rsid w:val="00F97CE1"/>
    <w:rsid w:val="00FC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"/>
    <w:next w:val="a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21">
    <w:name w:val="Абзац списка2"/>
    <w:basedOn w:val="a"/>
    <w:rsid w:val="0070723C"/>
    <w:pPr>
      <w:ind w:left="720"/>
      <w:contextualSpacing/>
    </w:pPr>
  </w:style>
  <w:style w:type="paragraph" w:styleId="ab">
    <w:name w:val="Normal (Web)"/>
    <w:basedOn w:val="a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"/>
    <w:rsid w:val="00C11101"/>
    <w:pPr>
      <w:ind w:left="720"/>
      <w:contextualSpacing/>
    </w:pPr>
  </w:style>
  <w:style w:type="paragraph" w:customStyle="1" w:styleId="ListParagraph">
    <w:name w:val="List Paragraph"/>
    <w:basedOn w:val="a"/>
    <w:rsid w:val="007F4C4A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d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e">
    <w:name w:val="List Paragraph"/>
    <w:basedOn w:val="a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">
    <w:name w:val="Emphasis"/>
    <w:uiPriority w:val="20"/>
    <w:qFormat/>
    <w:rsid w:val="00FC5B32"/>
    <w:rPr>
      <w:i/>
      <w:iCs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"/>
    <w:next w:val="a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21">
    <w:name w:val="Абзац списка2"/>
    <w:basedOn w:val="a"/>
    <w:rsid w:val="0070723C"/>
    <w:pPr>
      <w:ind w:left="720"/>
      <w:contextualSpacing/>
    </w:pPr>
  </w:style>
  <w:style w:type="paragraph" w:styleId="ab">
    <w:name w:val="Normal (Web)"/>
    <w:basedOn w:val="a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"/>
    <w:rsid w:val="00C11101"/>
    <w:pPr>
      <w:ind w:left="720"/>
      <w:contextualSpacing/>
    </w:pPr>
  </w:style>
  <w:style w:type="paragraph" w:customStyle="1" w:styleId="ListParagraph">
    <w:name w:val="List Paragraph"/>
    <w:basedOn w:val="a"/>
    <w:rsid w:val="007F4C4A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d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e">
    <w:name w:val="List Paragraph"/>
    <w:basedOn w:val="a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">
    <w:name w:val="Emphasis"/>
    <w:uiPriority w:val="20"/>
    <w:qFormat/>
    <w:rsid w:val="00FC5B32"/>
    <w:rPr>
      <w:i/>
      <w:iCs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e-BY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793150036573299"/>
          <c:y val="4.4057617797775499E-2"/>
          <c:w val="0.64061202185792143"/>
          <c:h val="0.768226545211258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кол. студентов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invertIfNegative val="0"/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</c:v>
                </c:pt>
                <c:pt idx="1">
                  <c:v>6</c:v>
                </c:pt>
                <c:pt idx="2">
                  <c:v>20</c:v>
                </c:pt>
                <c:pt idx="3">
                  <c:v>28</c:v>
                </c:pt>
                <c:pt idx="4">
                  <c:v>25</c:v>
                </c:pt>
                <c:pt idx="5">
                  <c:v>8</c:v>
                </c:pt>
                <c:pt idx="6">
                  <c:v>6</c:v>
                </c:pt>
                <c:pt idx="7">
                  <c:v>4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637440"/>
        <c:axId val="263002304"/>
      </c:barChart>
      <c:catAx>
        <c:axId val="16063744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63002304"/>
        <c:crosses val="autoZero"/>
        <c:auto val="1"/>
        <c:lblAlgn val="ctr"/>
        <c:lblOffset val="100"/>
        <c:noMultiLvlLbl val="0"/>
      </c:catAx>
      <c:valAx>
        <c:axId val="263002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06374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914996832292517"/>
          <c:y val="0.44014708067151981"/>
          <c:w val="0.16879554710833555"/>
          <c:h val="5.9094488188976391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baseline="0"/>
      </a:pPr>
      <a:endParaRPr lang="be-BY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0.02321</cdr:x>
      <cdr:y>0.06548</cdr:y>
    </cdr:from>
    <cdr:to>
      <cdr:x>0.08963</cdr:x>
      <cdr:y>0.91369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28224" y="264448"/>
          <a:ext cx="366960" cy="342558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="vert270" wrap="square">
          <a:spAutoFit/>
        </a:bodyPr>
        <a:lstStyle xmlns:a="http://schemas.openxmlformats.org/drawingml/2006/main"/>
        <a:p xmlns:a="http://schemas.openxmlformats.org/drawingml/2006/main">
          <a:pPr algn="ctr"/>
          <a:r>
            <a:rPr lang="ru-RU" sz="1200" baseline="0">
              <a:solidFill>
                <a:schemeClr val="tx1"/>
              </a:solidFill>
              <a:latin typeface="Arial" pitchFamily="34" charset="0"/>
            </a:rPr>
            <a:t>количество</a:t>
          </a:r>
          <a:r>
            <a:rPr lang="ru-RU"/>
            <a:t> </a:t>
          </a:r>
          <a:r>
            <a:rPr lang="ru-RU" sz="1200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студентов</a:t>
          </a:r>
        </a:p>
      </cdr:txBody>
    </cdr:sp>
  </cdr:relSizeAnchor>
  <cdr:relSizeAnchor xmlns:cdr="http://schemas.openxmlformats.org/drawingml/2006/chartDrawing">
    <cdr:from>
      <cdr:x>0.2029</cdr:x>
      <cdr:y>0.88479</cdr:y>
    </cdr:from>
    <cdr:to>
      <cdr:x>0.5942</cdr:x>
      <cdr:y>0.97005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209822" y="3657601"/>
          <a:ext cx="2333185" cy="352424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pPr algn="ctr">
            <a:lnSpc>
              <a:spcPts val="1300"/>
            </a:lnSpc>
          </a:pPr>
          <a:r>
            <a:rPr lang="ru-RU" sz="1200">
              <a:solidFill>
                <a:schemeClr val="tx1"/>
              </a:solidFill>
              <a:latin typeface="Arial" pitchFamily="34" charset="0"/>
              <a:cs typeface="Arial" pitchFamily="34" charset="0"/>
            </a:rPr>
            <a:t>средний балл по трем нормативам </a:t>
          </a:r>
        </a:p>
        <a:p xmlns:a="http://schemas.openxmlformats.org/drawingml/2006/main">
          <a:pPr algn="ctr">
            <a:lnSpc>
              <a:spcPts val="1200"/>
            </a:lnSpc>
          </a:pPr>
          <a:endParaRPr lang="ru-RU" sz="1200">
            <a:solidFill>
              <a:schemeClr val="tx1"/>
            </a:solidFill>
            <a:latin typeface="Arial" pitchFamily="34" charset="0"/>
            <a:cs typeface="Arial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E2E3B82-C684-40DE-AE50-38DB21BC6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</TotalTime>
  <Pages>4</Pages>
  <Words>1192</Words>
  <Characters>7277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ANATOL</cp:lastModifiedBy>
  <cp:revision>109</cp:revision>
  <dcterms:created xsi:type="dcterms:W3CDTF">2015-05-23T20:46:00Z</dcterms:created>
  <dcterms:modified xsi:type="dcterms:W3CDTF">2015-06-06T20:29:00Z</dcterms:modified>
</cp:coreProperties>
</file>