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2C" w:rsidRPr="00EC7288" w:rsidRDefault="00B85B2C" w:rsidP="00B85B2C">
      <w:pPr>
        <w:widowControl w:val="0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288">
        <w:rPr>
          <w:rFonts w:ascii="Times New Roman" w:hAnsi="Times New Roman" w:cs="Times New Roman"/>
          <w:b/>
          <w:sz w:val="24"/>
          <w:szCs w:val="24"/>
        </w:rPr>
        <w:t>ОСВОЕНИЮ БУДУЩЕЙ ПРОФЕССИИ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288">
        <w:rPr>
          <w:rFonts w:ascii="Times New Roman" w:hAnsi="Times New Roman" w:cs="Times New Roman"/>
          <w:b/>
          <w:sz w:val="24"/>
          <w:szCs w:val="24"/>
        </w:rPr>
        <w:t>(НА ПРИМЕРЕ УЧЕБНОЙ ДИСЦИПЛИНЫ «МЕНЕДЖМЕНТ ТУРИЗМА»)</w:t>
      </w:r>
    </w:p>
    <w:p w:rsidR="00B85B2C" w:rsidRPr="000C1DAC" w:rsidRDefault="00B85B2C" w:rsidP="00B85B2C">
      <w:pPr>
        <w:widowControl w:val="0"/>
        <w:spacing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DAC">
        <w:rPr>
          <w:rFonts w:ascii="Times New Roman" w:hAnsi="Times New Roman" w:cs="Times New Roman"/>
          <w:i/>
          <w:sz w:val="28"/>
          <w:szCs w:val="28"/>
        </w:rPr>
        <w:t>Дубовик М.В.</w:t>
      </w:r>
    </w:p>
    <w:p w:rsidR="00B85B2C" w:rsidRPr="000C1DAC" w:rsidRDefault="00B85B2C" w:rsidP="00B85B2C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</w:rPr>
      </w:pP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.М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, Беларусь</w:t>
      </w:r>
    </w:p>
    <w:p w:rsidR="00B85B2C" w:rsidRPr="00EC7288" w:rsidRDefault="00B85B2C" w:rsidP="00B85B2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C7288">
        <w:rPr>
          <w:rFonts w:ascii="Times New Roman" w:hAnsi="Times New Roman" w:cs="Times New Roman"/>
          <w:i/>
          <w:sz w:val="28"/>
          <w:szCs w:val="28"/>
          <w:lang w:val="en-US"/>
        </w:rPr>
        <w:t>The article shows the dynamics of various factors of readiness of students to master their future profession.</w:t>
      </w:r>
    </w:p>
    <w:p w:rsidR="00B85B2C" w:rsidRPr="00EC7288" w:rsidRDefault="00B85B2C" w:rsidP="00B85B2C">
      <w:pPr>
        <w:widowControl w:val="0"/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85B2C" w:rsidRPr="000C1DAC" w:rsidRDefault="00B85B2C" w:rsidP="00B85B2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1DAC">
        <w:rPr>
          <w:rFonts w:ascii="Times New Roman" w:hAnsi="Times New Roman" w:cs="Times New Roman"/>
          <w:sz w:val="24"/>
          <w:szCs w:val="24"/>
        </w:rPr>
        <w:t>Значимость исследуемой проблемы обусловлена возможностью обоснования некоторых видов связей между мотивационными, психологическими и иными представлениями студентов на разных этапах обучения и их предполагаемой готовностью к освоению будущей профессии.</w:t>
      </w:r>
    </w:p>
    <w:bookmarkEnd w:id="0"/>
    <w:p w:rsidR="00B85B2C" w:rsidRPr="000C1DAC" w:rsidRDefault="00B85B2C" w:rsidP="00B85B2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Целями исследования являлись: сбор информации о факторах, влияющих на динамику готовности студентов в процессе обучения к освоению основ будущей профессии, а также усовершенствование программно-методической базы на основе анализа собранных данных. Применялись следующие методы исследования: педагогическое наблюдение; анкетирование, тестирование; контент-анализ; опрос (устный и письменный); документационный метод; методы графической обработки информации, математическая статистика. Исследование проводилось на базе факультета физического воспитания БГПУ в студенческих группах 1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>4-х курсов.</w:t>
      </w:r>
    </w:p>
    <w:p w:rsidR="00B85B2C" w:rsidRPr="000C1DAC" w:rsidRDefault="00B85B2C" w:rsidP="00B85B2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ab/>
        <w:t>Одной из основных задач, решаемых современным вузом, является создание образовательного пространства, обеспечивающего качественную подготовку студентов к будущей профессиональной деятельности. Студент должен осознавать социальную значимость будущей профессии, ответственно относиться к результатам своего труда, проявлять готовность решать поставленные профессиональные задачи, проявлять готовность к самосовершенствованию в области избранной профессии, демонстрировать готовность взаимодействовать с людьми. Эти профессиональные качества сегодня являются критерием профессионализма специалистов в области туристического бизнеса и отражают требования работодателей.</w:t>
      </w:r>
    </w:p>
    <w:p w:rsidR="00B85B2C" w:rsidRPr="000C1DAC" w:rsidRDefault="00B85B2C" w:rsidP="00B85B2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В ходе исследования мы исходили из того, что готовность студентов к будущей профессии будет формироваться результативно, если образовательное пространство университета создает целостное единство взаимосвязанных процессов, методов и средств, необходимых для реализации этой цели. Изучались мотивационный, познавательный,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операционно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, рефлексивный компоненты готовности к будущей профессиональной деятельности. Сопоставляя мнения студентов и преподавателей о факторах, влияющих на подготовку студентов к будущей профессии, мы пришли к выводу, что доминантной является группа организационно-педагогических факторов, что позволяет управлять процессом подготовки студентов университета к будущей профессиональной деятельности.</w:t>
      </w:r>
    </w:p>
    <w:p w:rsidR="00B85B2C" w:rsidRPr="000C1DAC" w:rsidRDefault="00B85B2C" w:rsidP="00B85B2C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Так в рамках преподавания учебной дисциплины «Менеджмент туризма» в студенческих группах 1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>4-го курсов изучалась динамика следующих факторов: «представление о профессии», «психологическая готовность к будущей профессии», «профессионально-прикладная физическая подготовка», «мотивы учения», изучалась динамика учебно-профессиональных установок. При организации учебных занятий нами применялся комплекс приемов по выявлению и развитию личностных каче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удентов, необходимых будущему менеджеру, преподавателю физкультуры (дисциплинированность, ответственность, инициативность, мобильность и пр.) Основными методами обучения при этом выступали ролевые игры, учебные дискуссии, беседы по педагогическому мастерству, метод решения педагогических задач. С целью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 xml:space="preserve">развития большего интереса и внимания студентов к будущей профессии нами разработаны и внедрены в процесс обучения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практикоориентированные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комплексы заданий по менеджменту туризма. 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К основным из них относятся такие, как «создание туров выходного дня», «создание технологических карт экскурсий, путевых листов», «анализ эффективности гостиницы как предприятия», «программа обслуживания туристов на маршруте» и т.д.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1DAC">
        <w:rPr>
          <w:rFonts w:ascii="Times New Roman" w:hAnsi="Times New Roman" w:cs="Times New Roman"/>
          <w:sz w:val="24"/>
          <w:szCs w:val="24"/>
        </w:rPr>
        <w:t xml:space="preserve"> студенты 3-го курса, разрабатывая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велосипедно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-экскурсионный маршрут для определенных возрастных групп в черте города Минска, изучают потенциальные возможности проложенных в городе велодорожек, парковых и зеленых зон, спортивно-оздоровительных площадок; создают папку документов, в которую входят: карта маршрута, путевой лист, памятка для туриста, правила безопасности на маршруте, калькуляция расходов, расчет рентабельности предлагаемого туристического продукта.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При организации учебных занятий используются следующие инновационные технологии: проектного обучения, развивающее обучение, интегральная технология. Применяются методы: репродуктивный, продуктивно-практический, частично-поисковый, исследовательский, учебно-тренировочный, метод случайностей, банк идей, методы социологического исследования, педагогическая диагностика и др. В ходе подготовки к семинарским и практическим занятиям студенты используют учебные пособия, разработанные на кафедрах педагогики, теории и методики физического воспитания БГПУ [1,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2]. Пособия содержат методические рекомендации по управлению и организации современного туристического бизнеса, а также ряд оригинальных материалов, примеры документов, отражающих договорные взаимоотношения между субъектами туристического рынка, варианты штатного расписания туристических фирм, особенности гостиничных цепей, основные параметры моделей туристического продукта.</w:t>
      </w:r>
    </w:p>
    <w:p w:rsidR="00B85B2C" w:rsidRPr="000C1DAC" w:rsidRDefault="00B85B2C" w:rsidP="00B85B2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Таким образом, предлагаемая система обучения менеджменту туризма позволяет уже с первого курса погружать студентов в конте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офессиональной деятельности. Через комплексы заданий студенты ориентируются на создание профессионального продукта, что повышает готовность будущих специалистов решать поставленные профессиональные задачи. Лучшие работы студентов реализуются в ходе производственной практики на базе туристических фирм, в работе белорусских туристических агентств, при организации школьных туров выходного дня, проведении школьных экскурсий, при организации воспитательной работы в средних школах и спортивных центрах Беларуси.</w:t>
      </w:r>
    </w:p>
    <w:p w:rsidR="00B85B2C" w:rsidRPr="000C1DAC" w:rsidRDefault="00B85B2C" w:rsidP="00B85B2C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B85B2C" w:rsidRPr="000C1DAC" w:rsidRDefault="00B85B2C" w:rsidP="00B85B2C">
      <w:pPr>
        <w:widowControl w:val="0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Аринович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И.С.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-экскурсионный бизнес: учеб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метод.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 xml:space="preserve">/ 2-е изд.,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 и доп.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 xml:space="preserve"> Минск</w:t>
      </w:r>
      <w:r w:rsidRPr="00331128">
        <w:rPr>
          <w:rFonts w:ascii="Times New Roman" w:hAnsi="Times New Roman" w:cs="Times New Roman"/>
          <w:sz w:val="24"/>
          <w:szCs w:val="24"/>
        </w:rPr>
        <w:t xml:space="preserve">: </w:t>
      </w:r>
      <w:r w:rsidRPr="000C1DAC">
        <w:rPr>
          <w:rFonts w:ascii="Times New Roman" w:hAnsi="Times New Roman" w:cs="Times New Roman"/>
          <w:sz w:val="24"/>
          <w:szCs w:val="24"/>
        </w:rPr>
        <w:t>БГПУ,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 xml:space="preserve"> 284 с.</w:t>
      </w:r>
    </w:p>
    <w:p w:rsidR="00B85B2C" w:rsidRPr="000C1DAC" w:rsidRDefault="00B85B2C" w:rsidP="00B85B2C">
      <w:pPr>
        <w:widowControl w:val="0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Педагогика современной школы: практикум: учеб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0C1DAC">
        <w:rPr>
          <w:rFonts w:ascii="Times New Roman" w:hAnsi="Times New Roman" w:cs="Times New Roman"/>
          <w:sz w:val="24"/>
          <w:szCs w:val="24"/>
        </w:rPr>
        <w:t>методич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И.И.Цыркун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А.А.Андарало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Е.Н.Артеменок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 xml:space="preserve"> Минск: БГПУ, 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152 с.</w:t>
      </w:r>
    </w:p>
    <w:p w:rsidR="004541CA" w:rsidRPr="004541CA" w:rsidRDefault="004541CA" w:rsidP="00B85B2C"/>
    <w:sectPr w:rsidR="004541CA" w:rsidRPr="00454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05" w:rsidRDefault="00C70C05" w:rsidP="00A03BCD">
      <w:pPr>
        <w:spacing w:line="240" w:lineRule="auto"/>
      </w:pPr>
      <w:r>
        <w:separator/>
      </w:r>
    </w:p>
  </w:endnote>
  <w:endnote w:type="continuationSeparator" w:id="0">
    <w:p w:rsidR="00C70C05" w:rsidRDefault="00C70C05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05" w:rsidRDefault="00C70C05" w:rsidP="00A03BCD">
      <w:pPr>
        <w:spacing w:line="240" w:lineRule="auto"/>
      </w:pPr>
      <w:r>
        <w:separator/>
      </w:r>
    </w:p>
  </w:footnote>
  <w:footnote w:type="continuationSeparator" w:id="0">
    <w:p w:rsidR="00C70C05" w:rsidRDefault="00C70C05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70C0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70C0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C70C0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6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26074C"/>
    <w:rsid w:val="002B53A5"/>
    <w:rsid w:val="002D6DA5"/>
    <w:rsid w:val="003B1388"/>
    <w:rsid w:val="00404738"/>
    <w:rsid w:val="004541CA"/>
    <w:rsid w:val="004D37FE"/>
    <w:rsid w:val="00562D01"/>
    <w:rsid w:val="00573B78"/>
    <w:rsid w:val="00607F5B"/>
    <w:rsid w:val="0063525A"/>
    <w:rsid w:val="00676015"/>
    <w:rsid w:val="006B318F"/>
    <w:rsid w:val="006C382A"/>
    <w:rsid w:val="0070723C"/>
    <w:rsid w:val="00760852"/>
    <w:rsid w:val="00765DEE"/>
    <w:rsid w:val="007A4D3F"/>
    <w:rsid w:val="007F131D"/>
    <w:rsid w:val="008877B6"/>
    <w:rsid w:val="008B6CFF"/>
    <w:rsid w:val="00900FDF"/>
    <w:rsid w:val="00946D06"/>
    <w:rsid w:val="00A007AC"/>
    <w:rsid w:val="00A03BCD"/>
    <w:rsid w:val="00A75F73"/>
    <w:rsid w:val="00B40E99"/>
    <w:rsid w:val="00B85B2C"/>
    <w:rsid w:val="00C70C05"/>
    <w:rsid w:val="00D51B5E"/>
    <w:rsid w:val="00DE267E"/>
    <w:rsid w:val="00E135C0"/>
    <w:rsid w:val="00EC7FC7"/>
    <w:rsid w:val="00E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D88C94-1679-4841-94EE-69905275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840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30</cp:revision>
  <dcterms:created xsi:type="dcterms:W3CDTF">2015-05-23T20:46:00Z</dcterms:created>
  <dcterms:modified xsi:type="dcterms:W3CDTF">2015-06-04T18:23:00Z</dcterms:modified>
</cp:coreProperties>
</file>