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4" w:rsidRDefault="00045204" w:rsidP="00045204">
      <w:pPr>
        <w:widowControl w:val="0"/>
        <w:spacing w:before="240" w:line="240" w:lineRule="auto"/>
        <w:jc w:val="center"/>
        <w:rPr>
          <w:rFonts w:ascii="Times New Roman" w:hAnsi="Times New Roman" w:cs="Times New Roman"/>
          <w:b/>
          <w:sz w:val="28"/>
          <w:szCs w:val="28"/>
        </w:rPr>
      </w:pPr>
      <w:r w:rsidRPr="000C1DAC">
        <w:rPr>
          <w:rFonts w:ascii="Times New Roman" w:hAnsi="Times New Roman" w:cs="Times New Roman"/>
          <w:b/>
          <w:sz w:val="28"/>
          <w:szCs w:val="28"/>
        </w:rPr>
        <w:t xml:space="preserve">АДАПТАЦИОННЫЕ ВОЗМОЖНОСТИ СТУДЕНТОВ </w:t>
      </w:r>
    </w:p>
    <w:p w:rsidR="00045204" w:rsidRPr="000C1DAC" w:rsidRDefault="00045204" w:rsidP="00045204">
      <w:pPr>
        <w:widowControl w:val="0"/>
        <w:spacing w:line="240" w:lineRule="auto"/>
        <w:jc w:val="center"/>
        <w:rPr>
          <w:rFonts w:ascii="Times New Roman" w:hAnsi="Times New Roman" w:cs="Times New Roman"/>
          <w:b/>
          <w:sz w:val="28"/>
          <w:szCs w:val="28"/>
        </w:rPr>
      </w:pPr>
      <w:r w:rsidRPr="000C1DAC">
        <w:rPr>
          <w:rFonts w:ascii="Times New Roman" w:hAnsi="Times New Roman" w:cs="Times New Roman"/>
          <w:b/>
          <w:sz w:val="28"/>
          <w:szCs w:val="28"/>
        </w:rPr>
        <w:t>В ЗАВИСИМОСТИ ОТ СРЕДОВОЙ НАГРУЗКИ</w:t>
      </w:r>
    </w:p>
    <w:p w:rsidR="00045204" w:rsidRPr="000C1DAC" w:rsidRDefault="00045204" w:rsidP="00045204">
      <w:pPr>
        <w:widowControl w:val="0"/>
        <w:spacing w:line="240" w:lineRule="auto"/>
        <w:ind w:firstLine="703"/>
        <w:jc w:val="right"/>
        <w:rPr>
          <w:rFonts w:ascii="Times New Roman" w:hAnsi="Times New Roman" w:cs="Times New Roman"/>
          <w:i/>
          <w:sz w:val="28"/>
          <w:szCs w:val="28"/>
        </w:rPr>
      </w:pPr>
      <w:r w:rsidRPr="000C1DAC">
        <w:rPr>
          <w:rFonts w:ascii="Times New Roman" w:hAnsi="Times New Roman" w:cs="Times New Roman"/>
          <w:i/>
          <w:sz w:val="28"/>
          <w:szCs w:val="28"/>
        </w:rPr>
        <w:t>Игонина Е.Н.</w:t>
      </w:r>
    </w:p>
    <w:p w:rsidR="00045204" w:rsidRPr="000C1DAC" w:rsidRDefault="00045204" w:rsidP="00045204">
      <w:pPr>
        <w:widowControl w:val="0"/>
        <w:tabs>
          <w:tab w:val="left" w:pos="0"/>
        </w:tabs>
        <w:spacing w:line="240" w:lineRule="auto"/>
        <w:ind w:firstLine="360"/>
        <w:jc w:val="right"/>
        <w:rPr>
          <w:rFonts w:ascii="Times New Roman" w:hAnsi="Times New Roman" w:cs="Times New Roman"/>
          <w:i/>
          <w:kern w:val="24"/>
          <w:sz w:val="28"/>
          <w:szCs w:val="28"/>
        </w:rPr>
      </w:pPr>
      <w:r w:rsidRPr="000C1DAC">
        <w:rPr>
          <w:rFonts w:ascii="Times New Roman" w:hAnsi="Times New Roman" w:cs="Times New Roman"/>
          <w:i/>
          <w:kern w:val="24"/>
          <w:sz w:val="28"/>
          <w:szCs w:val="28"/>
        </w:rPr>
        <w:t>г.</w:t>
      </w:r>
      <w:r>
        <w:rPr>
          <w:rFonts w:ascii="Times New Roman" w:hAnsi="Times New Roman" w:cs="Times New Roman"/>
          <w:i/>
          <w:kern w:val="24"/>
          <w:sz w:val="28"/>
          <w:szCs w:val="28"/>
        </w:rPr>
        <w:t xml:space="preserve"> </w:t>
      </w:r>
      <w:r w:rsidRPr="000C1DAC">
        <w:rPr>
          <w:rFonts w:ascii="Times New Roman" w:hAnsi="Times New Roman" w:cs="Times New Roman"/>
          <w:i/>
          <w:kern w:val="24"/>
          <w:sz w:val="28"/>
          <w:szCs w:val="28"/>
        </w:rPr>
        <w:t>Минск, Беларусь</w:t>
      </w:r>
    </w:p>
    <w:p w:rsidR="00045204" w:rsidRDefault="00045204" w:rsidP="00045204">
      <w:pPr>
        <w:widowControl w:val="0"/>
        <w:spacing w:line="240" w:lineRule="auto"/>
        <w:ind w:firstLine="703"/>
        <w:jc w:val="both"/>
        <w:rPr>
          <w:rFonts w:ascii="Times New Roman" w:hAnsi="Times New Roman" w:cs="Times New Roman"/>
          <w:i/>
          <w:sz w:val="28"/>
          <w:szCs w:val="28"/>
          <w:lang w:val="en-US"/>
        </w:rPr>
      </w:pPr>
      <w:r w:rsidRPr="007C7079">
        <w:rPr>
          <w:rFonts w:ascii="Times New Roman" w:hAnsi="Times New Roman" w:cs="Times New Roman"/>
          <w:i/>
          <w:sz w:val="28"/>
          <w:szCs w:val="28"/>
          <w:lang w:val="en-US"/>
        </w:rPr>
        <w:t>The article shows the adaptation possibilities students depending on the environmental load.</w:t>
      </w:r>
    </w:p>
    <w:p w:rsidR="00045204" w:rsidRPr="007C7079" w:rsidRDefault="00045204" w:rsidP="00045204">
      <w:pPr>
        <w:widowControl w:val="0"/>
        <w:spacing w:line="240" w:lineRule="auto"/>
        <w:ind w:firstLine="703"/>
        <w:jc w:val="both"/>
        <w:rPr>
          <w:rFonts w:ascii="Times New Roman" w:hAnsi="Times New Roman" w:cs="Times New Roman"/>
          <w:i/>
          <w:sz w:val="28"/>
          <w:szCs w:val="28"/>
          <w:lang w:val="en-US"/>
        </w:rPr>
      </w:pPr>
    </w:p>
    <w:p w:rsidR="00045204" w:rsidRPr="000C1DAC" w:rsidRDefault="00045204" w:rsidP="00045204">
      <w:pPr>
        <w:widowControl w:val="0"/>
        <w:shd w:val="clear" w:color="auto" w:fill="FFFFFF"/>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 xml:space="preserve">Проблема адаптации студентов в вузе - важное условие успешной педагогической деятельности. Согласно современным требованиям при подготовке специалистов высшей школы должна быть такая организация труда студентов, когда необходимо более глубоко учитывать их восприятию новой информации, средства и методы повышения умственной работоспособности и физического здоровья [2]. Практическое решение задач, связанных с процессом адаптации студентов является важной социальной задачей и предполагает выработку методов диагностики их адаптационных возможностей и способностей, уровня </w:t>
      </w:r>
      <w:proofErr w:type="spellStart"/>
      <w:r w:rsidRPr="000C1DAC">
        <w:rPr>
          <w:rFonts w:ascii="Times New Roman" w:hAnsi="Times New Roman" w:cs="Times New Roman"/>
          <w:sz w:val="24"/>
          <w:szCs w:val="24"/>
        </w:rPr>
        <w:t>адаптированности</w:t>
      </w:r>
      <w:proofErr w:type="spellEnd"/>
      <w:r w:rsidRPr="000C1DAC">
        <w:rPr>
          <w:rFonts w:ascii="Times New Roman" w:hAnsi="Times New Roman" w:cs="Times New Roman"/>
          <w:sz w:val="24"/>
          <w:szCs w:val="24"/>
        </w:rPr>
        <w:t>, режима и организации учебного процесса, выработке направления оптимизации процесса адаптации к образовательной деятельности [3]. Поэтому исследование процесса адаптации и физического здоровья студентов к учебному процессу в вузе является весьма актуальным.</w:t>
      </w:r>
    </w:p>
    <w:p w:rsidR="00045204" w:rsidRPr="000C1DAC" w:rsidRDefault="00045204" w:rsidP="00045204">
      <w:pPr>
        <w:widowControl w:val="0"/>
        <w:shd w:val="clear" w:color="auto" w:fill="FFFFFF"/>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 xml:space="preserve">Адаптация организма обеспечивается скоординированными во времени и пространстве и соподчиненными между собой специализированными функциональными системами. При этом главной адаптационной системой, лимитирующей умственную и физическую работоспособность, является </w:t>
      </w:r>
      <w:proofErr w:type="gramStart"/>
      <w:r w:rsidRPr="000C1DAC">
        <w:rPr>
          <w:rFonts w:ascii="Times New Roman" w:hAnsi="Times New Roman" w:cs="Times New Roman"/>
          <w:sz w:val="24"/>
          <w:szCs w:val="24"/>
        </w:rPr>
        <w:t>сердечно-сосудистая</w:t>
      </w:r>
      <w:proofErr w:type="gramEnd"/>
      <w:r w:rsidRPr="000C1DAC">
        <w:rPr>
          <w:rFonts w:ascii="Times New Roman" w:hAnsi="Times New Roman" w:cs="Times New Roman"/>
          <w:sz w:val="24"/>
          <w:szCs w:val="24"/>
        </w:rPr>
        <w:t xml:space="preserve"> система. Система кровообращения, согласно теории </w:t>
      </w:r>
      <w:proofErr w:type="spellStart"/>
      <w:r w:rsidRPr="000C1DAC">
        <w:rPr>
          <w:rFonts w:ascii="Times New Roman" w:hAnsi="Times New Roman" w:cs="Times New Roman"/>
          <w:sz w:val="24"/>
          <w:szCs w:val="24"/>
        </w:rPr>
        <w:t>Р.М.Баевского</w:t>
      </w:r>
      <w:proofErr w:type="spellEnd"/>
      <w:r w:rsidRPr="000C1DAC">
        <w:rPr>
          <w:rFonts w:ascii="Times New Roman" w:hAnsi="Times New Roman" w:cs="Times New Roman"/>
          <w:sz w:val="24"/>
          <w:szCs w:val="24"/>
        </w:rPr>
        <w:t xml:space="preserve">, является интегральным показателем функционального состояния организма и играет ведущую роль в обеспечении процессов адаптации [1]. </w:t>
      </w:r>
    </w:p>
    <w:p w:rsidR="00045204" w:rsidRPr="000C1DAC" w:rsidRDefault="00045204" w:rsidP="00045204">
      <w:pPr>
        <w:widowControl w:val="0"/>
        <w:shd w:val="clear" w:color="auto" w:fill="FFFFFF"/>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В настоящее время для определения адаптационных возможностей предложены различные методы качественной и количественной оценки (</w:t>
      </w:r>
      <w:proofErr w:type="spellStart"/>
      <w:r w:rsidRPr="000C1DAC">
        <w:rPr>
          <w:rFonts w:ascii="Times New Roman" w:hAnsi="Times New Roman" w:cs="Times New Roman"/>
          <w:sz w:val="24"/>
          <w:szCs w:val="24"/>
        </w:rPr>
        <w:t>Р.М.Баевский</w:t>
      </w:r>
      <w:proofErr w:type="spellEnd"/>
      <w:r w:rsidRPr="000C1DAC">
        <w:rPr>
          <w:rFonts w:ascii="Times New Roman" w:hAnsi="Times New Roman" w:cs="Times New Roman"/>
          <w:sz w:val="24"/>
          <w:szCs w:val="24"/>
        </w:rPr>
        <w:t xml:space="preserve">, </w:t>
      </w:r>
      <w:proofErr w:type="spellStart"/>
      <w:r w:rsidRPr="000C1DAC">
        <w:rPr>
          <w:rFonts w:ascii="Times New Roman" w:hAnsi="Times New Roman" w:cs="Times New Roman"/>
          <w:sz w:val="24"/>
          <w:szCs w:val="24"/>
        </w:rPr>
        <w:t>А.П.Берсенева</w:t>
      </w:r>
      <w:proofErr w:type="spellEnd"/>
      <w:r w:rsidRPr="000C1DAC">
        <w:rPr>
          <w:rFonts w:ascii="Times New Roman" w:hAnsi="Times New Roman" w:cs="Times New Roman"/>
          <w:sz w:val="24"/>
          <w:szCs w:val="24"/>
        </w:rPr>
        <w:t xml:space="preserve">, </w:t>
      </w:r>
      <w:proofErr w:type="spellStart"/>
      <w:r w:rsidRPr="000C1DAC">
        <w:rPr>
          <w:rFonts w:ascii="Times New Roman" w:hAnsi="Times New Roman" w:cs="Times New Roman"/>
          <w:sz w:val="24"/>
          <w:szCs w:val="24"/>
        </w:rPr>
        <w:t>В.К.Вакулин</w:t>
      </w:r>
      <w:proofErr w:type="spellEnd"/>
      <w:r w:rsidRPr="000C1DAC">
        <w:rPr>
          <w:rFonts w:ascii="Times New Roman" w:hAnsi="Times New Roman" w:cs="Times New Roman"/>
          <w:sz w:val="24"/>
          <w:szCs w:val="24"/>
        </w:rPr>
        <w:t xml:space="preserve"> и др., 1987). Авторами введено понятие </w:t>
      </w:r>
      <w:r w:rsidRPr="000C1DAC">
        <w:rPr>
          <w:rFonts w:ascii="Times New Roman" w:hAnsi="Times New Roman" w:cs="Times New Roman"/>
          <w:i/>
          <w:iCs/>
          <w:sz w:val="24"/>
          <w:szCs w:val="24"/>
        </w:rPr>
        <w:t>уровней адаптации</w:t>
      </w:r>
      <w:r w:rsidRPr="000C1DAC">
        <w:rPr>
          <w:rFonts w:ascii="Times New Roman" w:hAnsi="Times New Roman" w:cs="Times New Roman"/>
          <w:sz w:val="24"/>
          <w:szCs w:val="24"/>
        </w:rPr>
        <w:t xml:space="preserve">, которые являются косвенной характеристикой состояния адаптационных возможностей организма. Различают «удовлетворительную адаптацию», «напряжение адаптации», «неудовлетворительную адаптацию» и «срыв адаптации». Для определения </w:t>
      </w:r>
      <w:proofErr w:type="gramStart"/>
      <w:r w:rsidRPr="000C1DAC">
        <w:rPr>
          <w:rFonts w:ascii="Times New Roman" w:hAnsi="Times New Roman" w:cs="Times New Roman"/>
          <w:sz w:val="24"/>
          <w:szCs w:val="24"/>
        </w:rPr>
        <w:t>уровня особенностей функционирования системы кровообращения</w:t>
      </w:r>
      <w:proofErr w:type="gramEnd"/>
      <w:r w:rsidRPr="000C1DAC">
        <w:rPr>
          <w:rFonts w:ascii="Times New Roman" w:hAnsi="Times New Roman" w:cs="Times New Roman"/>
          <w:sz w:val="24"/>
          <w:szCs w:val="24"/>
        </w:rPr>
        <w:t xml:space="preserve"> и адаптационных возможностей целостного организма принято рассчитывать величины </w:t>
      </w:r>
      <w:r w:rsidRPr="000C1DAC">
        <w:rPr>
          <w:rFonts w:ascii="Times New Roman" w:hAnsi="Times New Roman" w:cs="Times New Roman"/>
          <w:i/>
          <w:iCs/>
          <w:sz w:val="24"/>
          <w:szCs w:val="24"/>
        </w:rPr>
        <w:t>адаптационного потенциала </w:t>
      </w:r>
      <w:r w:rsidRPr="000C1DAC">
        <w:rPr>
          <w:rFonts w:ascii="Times New Roman" w:hAnsi="Times New Roman" w:cs="Times New Roman"/>
          <w:sz w:val="24"/>
          <w:szCs w:val="24"/>
        </w:rPr>
        <w:t xml:space="preserve">(АП) в условных единицах – баллах. </w:t>
      </w:r>
    </w:p>
    <w:p w:rsidR="00045204" w:rsidRPr="000C1DAC" w:rsidRDefault="00045204" w:rsidP="00045204">
      <w:pPr>
        <w:widowControl w:val="0"/>
        <w:shd w:val="clear" w:color="auto" w:fill="FFFFFF"/>
        <w:spacing w:line="240" w:lineRule="auto"/>
        <w:ind w:firstLine="703"/>
        <w:jc w:val="both"/>
        <w:rPr>
          <w:rFonts w:ascii="Times New Roman" w:hAnsi="Times New Roman" w:cs="Times New Roman"/>
          <w:sz w:val="24"/>
          <w:szCs w:val="24"/>
        </w:rPr>
      </w:pPr>
      <w:r w:rsidRPr="000C1DAC">
        <w:rPr>
          <w:rFonts w:ascii="Times New Roman" w:hAnsi="Times New Roman" w:cs="Times New Roman"/>
          <w:iCs/>
          <w:sz w:val="24"/>
          <w:szCs w:val="24"/>
        </w:rPr>
        <w:t>Целью наших исследований явилось изучить влияние природных факторов (климатические) на здоровье и уровни адаптационного потенциала студентов 2</w:t>
      </w:r>
      <w:r w:rsidRPr="000C1DAC">
        <w:rPr>
          <w:rFonts w:ascii="Times New Roman" w:hAnsi="Times New Roman" w:cs="Times New Roman"/>
          <w:sz w:val="24"/>
          <w:szCs w:val="24"/>
        </w:rPr>
        <w:t>–</w:t>
      </w:r>
      <w:r w:rsidRPr="000C1DAC">
        <w:rPr>
          <w:rFonts w:ascii="Times New Roman" w:hAnsi="Times New Roman" w:cs="Times New Roman"/>
          <w:iCs/>
          <w:sz w:val="24"/>
          <w:szCs w:val="24"/>
        </w:rPr>
        <w:t>3-ого курсов факультета ФВ</w:t>
      </w:r>
      <w:r w:rsidRPr="000C1DAC">
        <w:rPr>
          <w:rFonts w:ascii="Times New Roman" w:hAnsi="Times New Roman" w:cs="Times New Roman"/>
          <w:sz w:val="24"/>
          <w:szCs w:val="24"/>
        </w:rPr>
        <w:t xml:space="preserve">. </w:t>
      </w:r>
    </w:p>
    <w:p w:rsidR="00045204" w:rsidRPr="000C1DAC" w:rsidRDefault="00045204" w:rsidP="00045204">
      <w:pPr>
        <w:widowControl w:val="0"/>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Обследованные студенты были разделены на 2 исследуемые и 1 контрольную группу. Основными критериями разделения были природно-климатическая средовая нагрузка и двигательная активность студентов.</w:t>
      </w:r>
    </w:p>
    <w:p w:rsidR="00045204" w:rsidRPr="000C1DAC" w:rsidRDefault="00045204" w:rsidP="00045204">
      <w:pPr>
        <w:widowControl w:val="0"/>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 xml:space="preserve">В первую исследуемую группу вошли студенты, занимающиеся круглогодично физической культурой и спортом в условиях стадиона, испытывающие дополнительно к двигательной нагрузке существенное влияние </w:t>
      </w:r>
      <w:proofErr w:type="spellStart"/>
      <w:r w:rsidRPr="000C1DAC">
        <w:rPr>
          <w:rFonts w:ascii="Times New Roman" w:hAnsi="Times New Roman" w:cs="Times New Roman"/>
          <w:sz w:val="24"/>
          <w:szCs w:val="24"/>
        </w:rPr>
        <w:t>климато</w:t>
      </w:r>
      <w:proofErr w:type="spellEnd"/>
      <w:r w:rsidRPr="000C1DAC">
        <w:rPr>
          <w:rFonts w:ascii="Times New Roman" w:hAnsi="Times New Roman" w:cs="Times New Roman"/>
          <w:sz w:val="24"/>
          <w:szCs w:val="24"/>
        </w:rPr>
        <w:t>-метеорологических факторов.</w:t>
      </w:r>
    </w:p>
    <w:p w:rsidR="00045204" w:rsidRPr="000C1DAC" w:rsidRDefault="00045204" w:rsidP="00045204">
      <w:pPr>
        <w:widowControl w:val="0"/>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 xml:space="preserve">Вторую исследуемую группу составили студенты, целенаправленно занимающиеся физической культурой и спортом в санитарно-гигиенических условиях спортивного зала, не испытывающие температурных перепадов, изменений влажности воздуха, ветровой нагрузки.  Вышеперечисленные климатические факторы и их </w:t>
      </w:r>
      <w:r w:rsidRPr="000C1DAC">
        <w:rPr>
          <w:rFonts w:ascii="Times New Roman" w:hAnsi="Times New Roman" w:cs="Times New Roman"/>
          <w:sz w:val="24"/>
          <w:szCs w:val="24"/>
        </w:rPr>
        <w:lastRenderedPageBreak/>
        <w:t>динамика являются основными факторами, определяющими состояние здоровья, зачастую являющихся причиной простудных заболеваний.</w:t>
      </w:r>
    </w:p>
    <w:p w:rsidR="00045204" w:rsidRPr="000C1DAC" w:rsidRDefault="00045204" w:rsidP="00045204">
      <w:pPr>
        <w:widowControl w:val="0"/>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В третью, контрольную группу, вошли студенты, не занимающиеся целенаправленно физической культурой и спортом, обучающиеся общей физической подготовке (ОФП) в соответствии с существующей программой обучения для ВУЗов факультетов физического воспитания (10–12 часов в неделю).</w:t>
      </w:r>
    </w:p>
    <w:p w:rsidR="00045204" w:rsidRPr="000C1DAC" w:rsidRDefault="00045204" w:rsidP="00045204">
      <w:pPr>
        <w:widowControl w:val="0"/>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 xml:space="preserve">Исследование влияния средовой нагрузки на показатели сердечно-сосудистой системы выявили высокую статистически достоверную разницу между показателями частоты сердечных сокращений у студентов с повышенной средовой нагрузкой (занимающихся на открытом воздухе) по сравнению со </w:t>
      </w:r>
      <w:proofErr w:type="gramStart"/>
      <w:r w:rsidRPr="000C1DAC">
        <w:rPr>
          <w:rFonts w:ascii="Times New Roman" w:hAnsi="Times New Roman" w:cs="Times New Roman"/>
          <w:sz w:val="24"/>
          <w:szCs w:val="24"/>
        </w:rPr>
        <w:t>студентами</w:t>
      </w:r>
      <w:proofErr w:type="gramEnd"/>
      <w:r w:rsidRPr="000C1DAC">
        <w:rPr>
          <w:rFonts w:ascii="Times New Roman" w:hAnsi="Times New Roman" w:cs="Times New Roman"/>
          <w:sz w:val="24"/>
          <w:szCs w:val="24"/>
        </w:rPr>
        <w:t xml:space="preserve"> учебный процесс которых был связан со спортивным залом и со студентами общей физической подготовки.</w:t>
      </w:r>
    </w:p>
    <w:p w:rsidR="00045204" w:rsidRPr="000C1DAC" w:rsidRDefault="00045204" w:rsidP="00045204">
      <w:pPr>
        <w:widowControl w:val="0"/>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 xml:space="preserve">Наибольший контакт с естественными климатообразующими факторами (температура воздуха, влажность, ветровая нагрузка), определяющими состояние здоровья организма, характеризовался наименьшими средними показателями частоты сердечных сокращений (65,6±0,9 </w:t>
      </w:r>
      <w:proofErr w:type="gramStart"/>
      <w:r w:rsidRPr="000C1DAC">
        <w:rPr>
          <w:rFonts w:ascii="Times New Roman" w:hAnsi="Times New Roman" w:cs="Times New Roman"/>
          <w:sz w:val="24"/>
          <w:szCs w:val="24"/>
        </w:rPr>
        <w:t>в</w:t>
      </w:r>
      <w:proofErr w:type="gramEnd"/>
      <w:r w:rsidRPr="000C1DAC">
        <w:rPr>
          <w:rFonts w:ascii="Times New Roman" w:hAnsi="Times New Roman" w:cs="Times New Roman"/>
          <w:sz w:val="24"/>
          <w:szCs w:val="24"/>
        </w:rPr>
        <w:t xml:space="preserve"> </w:t>
      </w:r>
      <w:proofErr w:type="gramStart"/>
      <w:r w:rsidRPr="000C1DAC">
        <w:rPr>
          <w:rFonts w:ascii="Times New Roman" w:hAnsi="Times New Roman" w:cs="Times New Roman"/>
          <w:sz w:val="24"/>
          <w:szCs w:val="24"/>
        </w:rPr>
        <w:t>мин</w:t>
      </w:r>
      <w:proofErr w:type="gramEnd"/>
      <w:r w:rsidRPr="000C1DAC">
        <w:rPr>
          <w:rFonts w:ascii="Times New Roman" w:hAnsi="Times New Roman" w:cs="Times New Roman"/>
          <w:sz w:val="24"/>
          <w:szCs w:val="24"/>
        </w:rPr>
        <w:t>) по сравнению с данными, полученными у студентов, физическая подготовка которых проходила в спортивном зале (68,4±1,1). У студентов, занимающихся по программе общей физической подготовки, частота сердечных сокращений составила (73,6±1,3).</w:t>
      </w:r>
    </w:p>
    <w:p w:rsidR="00045204" w:rsidRPr="000C1DAC" w:rsidRDefault="00045204" w:rsidP="00045204">
      <w:pPr>
        <w:widowControl w:val="0"/>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Результаты исследований в обобщенной форме представлены в таблице 1.</w:t>
      </w:r>
    </w:p>
    <w:p w:rsidR="00045204" w:rsidRPr="000C1DAC" w:rsidRDefault="00045204" w:rsidP="00045204">
      <w:pPr>
        <w:widowControl w:val="0"/>
        <w:spacing w:line="240" w:lineRule="auto"/>
        <w:ind w:firstLine="709"/>
        <w:jc w:val="both"/>
        <w:rPr>
          <w:rFonts w:ascii="Times New Roman" w:hAnsi="Times New Roman" w:cs="Times New Roman"/>
          <w:i/>
          <w:sz w:val="24"/>
          <w:szCs w:val="24"/>
        </w:rPr>
      </w:pPr>
      <w:r w:rsidRPr="000C1DAC">
        <w:rPr>
          <w:rFonts w:ascii="Times New Roman" w:hAnsi="Times New Roman" w:cs="Times New Roman"/>
          <w:i/>
          <w:sz w:val="24"/>
          <w:szCs w:val="24"/>
        </w:rPr>
        <w:t xml:space="preserve">Таблица 1. </w:t>
      </w:r>
      <w:proofErr w:type="gramStart"/>
      <w:r w:rsidRPr="000C1DAC">
        <w:rPr>
          <w:rFonts w:ascii="Times New Roman" w:hAnsi="Times New Roman" w:cs="Times New Roman"/>
          <w:i/>
          <w:sz w:val="24"/>
          <w:szCs w:val="24"/>
        </w:rPr>
        <w:t>Частота сердечных сокращений (в мин) у студентов исследуемых и контрольной группы</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6"/>
        <w:gridCol w:w="1186"/>
        <w:gridCol w:w="2997"/>
        <w:gridCol w:w="2449"/>
      </w:tblGrid>
      <w:tr w:rsidR="00045204" w:rsidRPr="000C1DAC" w:rsidTr="00525A93">
        <w:trPr>
          <w:trHeight w:val="257"/>
          <w:jc w:val="center"/>
        </w:trPr>
        <w:tc>
          <w:tcPr>
            <w:tcW w:w="2446"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Группа студентов</w:t>
            </w:r>
          </w:p>
        </w:tc>
        <w:tc>
          <w:tcPr>
            <w:tcW w:w="1186"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Пол</w:t>
            </w:r>
          </w:p>
        </w:tc>
        <w:tc>
          <w:tcPr>
            <w:tcW w:w="2997"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Абсолютное количество</w:t>
            </w:r>
          </w:p>
        </w:tc>
        <w:tc>
          <w:tcPr>
            <w:tcW w:w="2449"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proofErr w:type="gramStart"/>
            <w:r w:rsidRPr="000C1DAC">
              <w:rPr>
                <w:rFonts w:ascii="Times New Roman" w:hAnsi="Times New Roman" w:cs="Times New Roman"/>
                <w:sz w:val="24"/>
                <w:szCs w:val="24"/>
              </w:rPr>
              <w:t>Ч</w:t>
            </w:r>
            <w:proofErr w:type="gramEnd"/>
            <w:r w:rsidRPr="000C1DAC">
              <w:rPr>
                <w:rFonts w:ascii="Times New Roman" w:hAnsi="Times New Roman" w:cs="Times New Roman"/>
                <w:sz w:val="24"/>
                <w:szCs w:val="24"/>
                <w:lang w:val="en-US"/>
              </w:rPr>
              <w:t>CC</w:t>
            </w:r>
          </w:p>
        </w:tc>
      </w:tr>
      <w:tr w:rsidR="00045204" w:rsidRPr="000C1DAC" w:rsidTr="00525A93">
        <w:trPr>
          <w:trHeight w:val="771"/>
          <w:jc w:val="center"/>
        </w:trPr>
        <w:tc>
          <w:tcPr>
            <w:tcW w:w="2446"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1-я группа</w:t>
            </w:r>
          </w:p>
        </w:tc>
        <w:tc>
          <w:tcPr>
            <w:tcW w:w="1186"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ж</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м</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всего:</w:t>
            </w:r>
          </w:p>
        </w:tc>
        <w:tc>
          <w:tcPr>
            <w:tcW w:w="2997"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18</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39</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57</w:t>
            </w:r>
          </w:p>
        </w:tc>
        <w:tc>
          <w:tcPr>
            <w:tcW w:w="2449"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62,3±1,4</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67,2±1,0</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65,6±0,9**</w:t>
            </w:r>
          </w:p>
        </w:tc>
      </w:tr>
      <w:tr w:rsidR="00045204" w:rsidRPr="000C1DAC" w:rsidTr="00525A93">
        <w:trPr>
          <w:trHeight w:val="771"/>
          <w:jc w:val="center"/>
        </w:trPr>
        <w:tc>
          <w:tcPr>
            <w:tcW w:w="2446"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2-я группа (зал)</w:t>
            </w:r>
          </w:p>
        </w:tc>
        <w:tc>
          <w:tcPr>
            <w:tcW w:w="1186"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ж</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м</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всего:</w:t>
            </w:r>
          </w:p>
        </w:tc>
        <w:tc>
          <w:tcPr>
            <w:tcW w:w="2997"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20</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49</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69</w:t>
            </w:r>
          </w:p>
        </w:tc>
        <w:tc>
          <w:tcPr>
            <w:tcW w:w="2449"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70,7±1,9</w:t>
            </w:r>
          </w:p>
          <w:p w:rsidR="00045204" w:rsidRPr="000C1DAC" w:rsidRDefault="00045204" w:rsidP="00525A93">
            <w:pPr>
              <w:widowControl w:val="0"/>
              <w:spacing w:line="240" w:lineRule="auto"/>
              <w:jc w:val="center"/>
              <w:rPr>
                <w:rFonts w:ascii="Times New Roman" w:hAnsi="Times New Roman" w:cs="Times New Roman"/>
                <w:sz w:val="24"/>
                <w:szCs w:val="24"/>
                <w:lang w:val="en-US"/>
              </w:rPr>
            </w:pPr>
            <w:r w:rsidRPr="000C1DAC">
              <w:rPr>
                <w:rFonts w:ascii="Times New Roman" w:hAnsi="Times New Roman" w:cs="Times New Roman"/>
                <w:sz w:val="24"/>
                <w:szCs w:val="24"/>
              </w:rPr>
              <w:t>67,4±1,1</w:t>
            </w:r>
          </w:p>
          <w:p w:rsidR="00045204" w:rsidRPr="000C1DAC" w:rsidRDefault="00045204" w:rsidP="00525A93">
            <w:pPr>
              <w:widowControl w:val="0"/>
              <w:spacing w:line="240" w:lineRule="auto"/>
              <w:jc w:val="center"/>
              <w:rPr>
                <w:rFonts w:ascii="Times New Roman" w:hAnsi="Times New Roman" w:cs="Times New Roman"/>
                <w:sz w:val="24"/>
                <w:szCs w:val="24"/>
                <w:lang w:val="en-US"/>
              </w:rPr>
            </w:pPr>
            <w:r w:rsidRPr="000C1DAC">
              <w:rPr>
                <w:rFonts w:ascii="Times New Roman" w:hAnsi="Times New Roman" w:cs="Times New Roman"/>
                <w:sz w:val="24"/>
                <w:szCs w:val="24"/>
              </w:rPr>
              <w:t>68,4±1,1*</w:t>
            </w:r>
          </w:p>
        </w:tc>
      </w:tr>
      <w:tr w:rsidR="00045204" w:rsidRPr="000C1DAC" w:rsidTr="00525A93">
        <w:trPr>
          <w:trHeight w:val="771"/>
          <w:jc w:val="center"/>
        </w:trPr>
        <w:tc>
          <w:tcPr>
            <w:tcW w:w="2446"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3-я группа (</w:t>
            </w:r>
            <w:proofErr w:type="spellStart"/>
            <w:r w:rsidRPr="000C1DAC">
              <w:rPr>
                <w:rFonts w:ascii="Times New Roman" w:hAnsi="Times New Roman" w:cs="Times New Roman"/>
                <w:sz w:val="24"/>
                <w:szCs w:val="24"/>
              </w:rPr>
              <w:t>офп</w:t>
            </w:r>
            <w:proofErr w:type="spellEnd"/>
            <w:r w:rsidRPr="000C1DAC">
              <w:rPr>
                <w:rFonts w:ascii="Times New Roman" w:hAnsi="Times New Roman" w:cs="Times New Roman"/>
                <w:sz w:val="24"/>
                <w:szCs w:val="24"/>
              </w:rPr>
              <w:t>)</w:t>
            </w:r>
          </w:p>
        </w:tc>
        <w:tc>
          <w:tcPr>
            <w:tcW w:w="1186"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ж</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м</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всего</w:t>
            </w:r>
          </w:p>
        </w:tc>
        <w:tc>
          <w:tcPr>
            <w:tcW w:w="2997"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27</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28</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55</w:t>
            </w:r>
          </w:p>
        </w:tc>
        <w:tc>
          <w:tcPr>
            <w:tcW w:w="2449"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74,8±1,6</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72,4±1,4</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73,6±1,3</w:t>
            </w:r>
          </w:p>
        </w:tc>
      </w:tr>
      <w:tr w:rsidR="00045204" w:rsidRPr="000C1DAC" w:rsidTr="00525A93">
        <w:trPr>
          <w:trHeight w:val="771"/>
          <w:jc w:val="center"/>
        </w:trPr>
        <w:tc>
          <w:tcPr>
            <w:tcW w:w="2446"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Общая группа</w:t>
            </w:r>
          </w:p>
        </w:tc>
        <w:tc>
          <w:tcPr>
            <w:tcW w:w="1186"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ж</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м</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всего</w:t>
            </w:r>
          </w:p>
        </w:tc>
        <w:tc>
          <w:tcPr>
            <w:tcW w:w="2997"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65</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116</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181</w:t>
            </w:r>
          </w:p>
        </w:tc>
        <w:tc>
          <w:tcPr>
            <w:tcW w:w="2449"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70,1±1,1</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68,5±0,7</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69,1±0,6</w:t>
            </w:r>
          </w:p>
        </w:tc>
      </w:tr>
    </w:tbl>
    <w:p w:rsidR="00045204" w:rsidRPr="000C1DAC" w:rsidRDefault="00045204" w:rsidP="00045204">
      <w:pPr>
        <w:widowControl w:val="0"/>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Примечание: * статистические достоверные различия между показателями исследуемых и контрольной группой (</w:t>
      </w:r>
      <w:proofErr w:type="gramStart"/>
      <w:r w:rsidRPr="000C1DAC">
        <w:rPr>
          <w:rFonts w:ascii="Times New Roman" w:hAnsi="Times New Roman" w:cs="Times New Roman"/>
          <w:sz w:val="24"/>
          <w:szCs w:val="24"/>
        </w:rPr>
        <w:t>р</w:t>
      </w:r>
      <w:proofErr w:type="gramEnd"/>
      <w:r w:rsidRPr="000C1DAC">
        <w:rPr>
          <w:rFonts w:ascii="Times New Roman" w:hAnsi="Times New Roman" w:cs="Times New Roman"/>
          <w:sz w:val="24"/>
          <w:szCs w:val="24"/>
        </w:rPr>
        <w:t xml:space="preserve"> &lt; 0,01 – 0,001); ** статистически достоверные различия при сравнении исследуемых групп студентов, занимающихся на открытом воздухе и в зале (р &lt; 0,05).</w:t>
      </w:r>
    </w:p>
    <w:p w:rsidR="00045204" w:rsidRPr="000C1DAC" w:rsidRDefault="00045204" w:rsidP="00045204">
      <w:pPr>
        <w:widowControl w:val="0"/>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Выявленная взаимосвязь природной средовой нагрузки на организм подтверждается расчетом адаптационного потенциала, характеризующего резервные возможности кровообращения, показатели которого отражают удовлетворительные, напряженные, неудовлетворительные механизмы адаптации и их срыв, выраженные в баллах. Чем ниже балл, тем адаптационные возможности выше.</w:t>
      </w:r>
    </w:p>
    <w:p w:rsidR="00045204" w:rsidRPr="000C1DAC" w:rsidRDefault="00045204" w:rsidP="00045204">
      <w:pPr>
        <w:widowControl w:val="0"/>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 xml:space="preserve">Расчет адаптационного потенциала выявил во всех трех группах студентов достаточные функциональные возможности к адаптации. </w:t>
      </w:r>
    </w:p>
    <w:p w:rsidR="00045204" w:rsidRPr="000C1DAC" w:rsidRDefault="00045204" w:rsidP="00045204">
      <w:pPr>
        <w:widowControl w:val="0"/>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 xml:space="preserve">Наблюдался рост средних значений данного показателя соответственно росту средних значений частоты сердечных сокращений от 1-ой исследуемой группы ко 2-ой исследуемой группе и контрольной группе (1,97±0,02; 2,01±0,02; 2,08±0,03). В обобщенном виде результаты исследований представлены в таблице 3.7 </w:t>
      </w:r>
    </w:p>
    <w:p w:rsidR="00045204" w:rsidRPr="000C1DAC" w:rsidRDefault="00045204" w:rsidP="00045204">
      <w:pPr>
        <w:widowControl w:val="0"/>
        <w:spacing w:line="240" w:lineRule="auto"/>
        <w:ind w:firstLine="709"/>
        <w:jc w:val="both"/>
        <w:rPr>
          <w:rFonts w:ascii="Times New Roman" w:hAnsi="Times New Roman" w:cs="Times New Roman"/>
          <w:sz w:val="24"/>
          <w:szCs w:val="24"/>
        </w:rPr>
      </w:pPr>
      <w:r w:rsidRPr="00214009">
        <w:rPr>
          <w:rFonts w:ascii="Times New Roman" w:hAnsi="Times New Roman" w:cs="Times New Roman"/>
          <w:i/>
          <w:sz w:val="24"/>
          <w:szCs w:val="24"/>
        </w:rPr>
        <w:lastRenderedPageBreak/>
        <w:t>Таблица 2.</w:t>
      </w:r>
      <w:r w:rsidRPr="000C1DAC">
        <w:rPr>
          <w:rFonts w:ascii="Times New Roman" w:hAnsi="Times New Roman" w:cs="Times New Roman"/>
          <w:sz w:val="24"/>
          <w:szCs w:val="24"/>
        </w:rPr>
        <w:t xml:space="preserve"> Результаты исследования адаптационного потенциала организма в исследуемых и контрольной группе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1225"/>
        <w:gridCol w:w="3046"/>
        <w:gridCol w:w="2529"/>
      </w:tblGrid>
      <w:tr w:rsidR="00045204" w:rsidRPr="000C1DAC" w:rsidTr="00525A93">
        <w:tc>
          <w:tcPr>
            <w:tcW w:w="2572"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Группа студентов</w:t>
            </w:r>
          </w:p>
        </w:tc>
        <w:tc>
          <w:tcPr>
            <w:tcW w:w="1252"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Пол</w:t>
            </w:r>
          </w:p>
        </w:tc>
        <w:tc>
          <w:tcPr>
            <w:tcW w:w="3151"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Абсолютное количество</w:t>
            </w:r>
          </w:p>
        </w:tc>
        <w:tc>
          <w:tcPr>
            <w:tcW w:w="2596"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Показатель АП</w:t>
            </w:r>
          </w:p>
        </w:tc>
      </w:tr>
      <w:tr w:rsidR="00045204" w:rsidRPr="000C1DAC" w:rsidTr="00525A93">
        <w:tc>
          <w:tcPr>
            <w:tcW w:w="2572"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1-я группа (стадион, открытый воздух)</w:t>
            </w:r>
          </w:p>
          <w:p w:rsidR="00045204" w:rsidRPr="000C1DAC" w:rsidRDefault="00045204" w:rsidP="00525A93">
            <w:pPr>
              <w:widowControl w:val="0"/>
              <w:spacing w:line="240" w:lineRule="auto"/>
              <w:jc w:val="center"/>
              <w:rPr>
                <w:rFonts w:ascii="Times New Roman" w:hAnsi="Times New Roman" w:cs="Times New Roman"/>
                <w:sz w:val="24"/>
                <w:szCs w:val="24"/>
              </w:rPr>
            </w:pPr>
          </w:p>
        </w:tc>
        <w:tc>
          <w:tcPr>
            <w:tcW w:w="1252"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ж</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м</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всего:</w:t>
            </w:r>
          </w:p>
        </w:tc>
        <w:tc>
          <w:tcPr>
            <w:tcW w:w="3151"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18</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39</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57</w:t>
            </w:r>
          </w:p>
        </w:tc>
        <w:tc>
          <w:tcPr>
            <w:tcW w:w="2596"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1,91±0,029</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2,01±0,029*</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1,98±0,022**</w:t>
            </w:r>
          </w:p>
        </w:tc>
      </w:tr>
      <w:tr w:rsidR="00045204" w:rsidRPr="000C1DAC" w:rsidTr="00525A93">
        <w:tc>
          <w:tcPr>
            <w:tcW w:w="2572"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2-я группа (зал)</w:t>
            </w:r>
          </w:p>
        </w:tc>
        <w:tc>
          <w:tcPr>
            <w:tcW w:w="1252"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ж</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м</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всего:</w:t>
            </w:r>
          </w:p>
        </w:tc>
        <w:tc>
          <w:tcPr>
            <w:tcW w:w="3151"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20</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49</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69</w:t>
            </w:r>
          </w:p>
        </w:tc>
        <w:tc>
          <w:tcPr>
            <w:tcW w:w="2596"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1,95±0,041</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2,05±0,023*</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2,01±0,021*</w:t>
            </w:r>
          </w:p>
        </w:tc>
      </w:tr>
      <w:tr w:rsidR="00045204" w:rsidRPr="000C1DAC" w:rsidTr="00525A93">
        <w:tc>
          <w:tcPr>
            <w:tcW w:w="2572"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3-я группа (</w:t>
            </w:r>
            <w:proofErr w:type="spellStart"/>
            <w:r w:rsidRPr="000C1DAC">
              <w:rPr>
                <w:rFonts w:ascii="Times New Roman" w:hAnsi="Times New Roman" w:cs="Times New Roman"/>
                <w:sz w:val="24"/>
                <w:szCs w:val="24"/>
              </w:rPr>
              <w:t>офп</w:t>
            </w:r>
            <w:proofErr w:type="spellEnd"/>
            <w:r w:rsidRPr="000C1DAC">
              <w:rPr>
                <w:rFonts w:ascii="Times New Roman" w:hAnsi="Times New Roman" w:cs="Times New Roman"/>
                <w:sz w:val="24"/>
                <w:szCs w:val="24"/>
              </w:rPr>
              <w:t>)</w:t>
            </w:r>
          </w:p>
        </w:tc>
        <w:tc>
          <w:tcPr>
            <w:tcW w:w="1252"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ж</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м</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всего</w:t>
            </w:r>
          </w:p>
        </w:tc>
        <w:tc>
          <w:tcPr>
            <w:tcW w:w="3151"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27</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28</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55</w:t>
            </w:r>
          </w:p>
        </w:tc>
        <w:tc>
          <w:tcPr>
            <w:tcW w:w="2596"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2,04±0,048</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2,12±0,034</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2,08±0,029</w:t>
            </w:r>
          </w:p>
        </w:tc>
      </w:tr>
      <w:tr w:rsidR="00045204" w:rsidRPr="000C1DAC" w:rsidTr="00525A93">
        <w:tc>
          <w:tcPr>
            <w:tcW w:w="2572"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Общая группа</w:t>
            </w:r>
          </w:p>
        </w:tc>
        <w:tc>
          <w:tcPr>
            <w:tcW w:w="1252"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ж</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м</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всего</w:t>
            </w:r>
          </w:p>
        </w:tc>
        <w:tc>
          <w:tcPr>
            <w:tcW w:w="3151"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65</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116</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181</w:t>
            </w:r>
          </w:p>
        </w:tc>
        <w:tc>
          <w:tcPr>
            <w:tcW w:w="2596" w:type="dxa"/>
            <w:vAlign w:val="center"/>
          </w:tcPr>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1,97±0,025</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2,05±0,017*</w:t>
            </w:r>
          </w:p>
          <w:p w:rsidR="00045204" w:rsidRPr="000C1DAC" w:rsidRDefault="00045204" w:rsidP="00525A93">
            <w:pPr>
              <w:widowControl w:val="0"/>
              <w:spacing w:line="240" w:lineRule="auto"/>
              <w:jc w:val="center"/>
              <w:rPr>
                <w:rFonts w:ascii="Times New Roman" w:hAnsi="Times New Roman" w:cs="Times New Roman"/>
                <w:sz w:val="24"/>
                <w:szCs w:val="24"/>
              </w:rPr>
            </w:pPr>
            <w:r w:rsidRPr="000C1DAC">
              <w:rPr>
                <w:rFonts w:ascii="Times New Roman" w:hAnsi="Times New Roman" w:cs="Times New Roman"/>
                <w:sz w:val="24"/>
                <w:szCs w:val="24"/>
              </w:rPr>
              <w:t>2,03±0,014</w:t>
            </w:r>
          </w:p>
        </w:tc>
      </w:tr>
    </w:tbl>
    <w:p w:rsidR="00045204" w:rsidRPr="000C1DAC" w:rsidRDefault="00045204" w:rsidP="00045204">
      <w:pPr>
        <w:widowControl w:val="0"/>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Примечание: * статистические достоверные различия между показателями исследуемых и контрольной группой (</w:t>
      </w:r>
      <w:proofErr w:type="gramStart"/>
      <w:r w:rsidRPr="000C1DAC">
        <w:rPr>
          <w:rFonts w:ascii="Times New Roman" w:hAnsi="Times New Roman" w:cs="Times New Roman"/>
          <w:sz w:val="24"/>
          <w:szCs w:val="24"/>
        </w:rPr>
        <w:t>р</w:t>
      </w:r>
      <w:proofErr w:type="gramEnd"/>
      <w:r w:rsidRPr="000C1DAC">
        <w:rPr>
          <w:rFonts w:ascii="Times New Roman" w:hAnsi="Times New Roman" w:cs="Times New Roman"/>
          <w:sz w:val="24"/>
          <w:szCs w:val="24"/>
        </w:rPr>
        <w:t xml:space="preserve"> &lt; 0,01 – 0,001); ** статистически достоверные различия при сравнении исследуемых групп студентов, занимающихся на открытом воздухе и в зале (р &lt; 0,05).</w:t>
      </w:r>
    </w:p>
    <w:p w:rsidR="00045204" w:rsidRPr="000C1DAC" w:rsidRDefault="00045204" w:rsidP="00045204">
      <w:pPr>
        <w:widowControl w:val="0"/>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Сопоставление показателей АП в зависимости влияния средовой нагрузки, необходимо отметить снижение напряжения адаптации значительно в группе студентов</w:t>
      </w:r>
      <w:r>
        <w:rPr>
          <w:rFonts w:ascii="Times New Roman" w:hAnsi="Times New Roman" w:cs="Times New Roman"/>
          <w:sz w:val="24"/>
          <w:szCs w:val="24"/>
        </w:rPr>
        <w:t>,</w:t>
      </w:r>
      <w:r w:rsidRPr="000C1DAC">
        <w:rPr>
          <w:rFonts w:ascii="Times New Roman" w:hAnsi="Times New Roman" w:cs="Times New Roman"/>
          <w:sz w:val="24"/>
          <w:szCs w:val="24"/>
        </w:rPr>
        <w:t xml:space="preserve"> занимающихся на стадионе (на открытом воздухе). В зависимости от курса обучения возрастает процент студентов с удовлетворительной адаптацией 70,2% и снижается количество студентов с напряжением адаптации 29,8%. Нами установлено, что у всех групп студентов не наблюдается неудовлетворительной адаптации и срыва адаптации.</w:t>
      </w:r>
    </w:p>
    <w:p w:rsidR="00045204" w:rsidRPr="000C1DAC" w:rsidRDefault="00045204" w:rsidP="00045204">
      <w:pPr>
        <w:widowControl w:val="0"/>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 xml:space="preserve"> В группе 3 (</w:t>
      </w:r>
      <w:proofErr w:type="spellStart"/>
      <w:r w:rsidRPr="000C1DAC">
        <w:rPr>
          <w:rFonts w:ascii="Times New Roman" w:hAnsi="Times New Roman" w:cs="Times New Roman"/>
          <w:sz w:val="24"/>
          <w:szCs w:val="24"/>
        </w:rPr>
        <w:t>офп</w:t>
      </w:r>
      <w:proofErr w:type="spellEnd"/>
      <w:r w:rsidRPr="000C1DAC">
        <w:rPr>
          <w:rFonts w:ascii="Times New Roman" w:hAnsi="Times New Roman" w:cs="Times New Roman"/>
          <w:sz w:val="24"/>
          <w:szCs w:val="24"/>
        </w:rPr>
        <w:t>) АП составил у девушек 2,11±0,06, у юношей 2,12±0,03, это соответствует напряжению адаптации (от 2,11 до 3,20). Исходя из данных оценочных таблиц, можно сделать вывод, что они практически здоровы, такому контингенту, как правило, рекомендуются оздоровительные мероприятия. Снижение адаптационных возможностей организма, свидетельствует о более низком уровне здоровья и повышает риск развития болезней.</w:t>
      </w:r>
    </w:p>
    <w:p w:rsidR="00045204" w:rsidRPr="000C1DAC" w:rsidRDefault="00045204" w:rsidP="00045204">
      <w:pPr>
        <w:widowControl w:val="0"/>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 xml:space="preserve">Изменения показателя АП, наблюдается в группах с дополнительной двигательной активностью, и самый низкий показатель в группе 1, занимающихся на открытом воздухе, у девушек 1,91±0,02 и юношей 2,01±0,02. </w:t>
      </w:r>
      <w:proofErr w:type="gramStart"/>
      <w:r w:rsidRPr="000C1DAC">
        <w:rPr>
          <w:rFonts w:ascii="Times New Roman" w:hAnsi="Times New Roman" w:cs="Times New Roman"/>
          <w:sz w:val="24"/>
          <w:szCs w:val="24"/>
        </w:rPr>
        <w:t>Определение АП показало, что у девушек и у юношей имеются достаточные функциональные возможности системы кровообращения и удовлетворительное состояние адаптации (не</w:t>
      </w:r>
      <w:proofErr w:type="gramEnd"/>
      <w:r w:rsidRPr="000C1DAC">
        <w:rPr>
          <w:rFonts w:ascii="Times New Roman" w:hAnsi="Times New Roman" w:cs="Times New Roman"/>
          <w:sz w:val="24"/>
          <w:szCs w:val="24"/>
        </w:rPr>
        <w:t xml:space="preserve"> более 2,10). Это указывает на улучшение функциональных возможностей системы кровообращения и отражает снижение напряжения адаптационных механизмов у студентов, занимающихся на открытом воздухе.</w:t>
      </w:r>
    </w:p>
    <w:p w:rsidR="00045204" w:rsidRPr="000C1DAC" w:rsidRDefault="00045204" w:rsidP="00045204">
      <w:pPr>
        <w:widowControl w:val="0"/>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 xml:space="preserve">Выявлены очевидные физиологические признаки влияния природно-климатических факторов на </w:t>
      </w:r>
      <w:proofErr w:type="gramStart"/>
      <w:r w:rsidRPr="000C1DAC">
        <w:rPr>
          <w:rFonts w:ascii="Times New Roman" w:hAnsi="Times New Roman" w:cs="Times New Roman"/>
          <w:sz w:val="24"/>
          <w:szCs w:val="24"/>
        </w:rPr>
        <w:t>сердечно-сосудистую</w:t>
      </w:r>
      <w:proofErr w:type="gramEnd"/>
      <w:r w:rsidRPr="000C1DAC">
        <w:rPr>
          <w:rFonts w:ascii="Times New Roman" w:hAnsi="Times New Roman" w:cs="Times New Roman"/>
          <w:sz w:val="24"/>
          <w:szCs w:val="24"/>
        </w:rPr>
        <w:t xml:space="preserve"> систему, рассматриваемых как частный случай адаптационных свойств организма по общедоступным параметрам, что в свою очередь открывает возможность исследования других физиологических функций через регуляцию сердечного ритма. Поэтому уровень адаптационных возможностей студентов может служить в качестве одного из критериев оценки состояния их здоровья.</w:t>
      </w:r>
    </w:p>
    <w:p w:rsidR="00045204" w:rsidRPr="000C1DAC" w:rsidRDefault="00045204" w:rsidP="00045204">
      <w:pPr>
        <w:widowControl w:val="0"/>
        <w:spacing w:line="240" w:lineRule="auto"/>
        <w:ind w:firstLine="703"/>
        <w:jc w:val="both"/>
        <w:rPr>
          <w:rFonts w:ascii="Times New Roman" w:hAnsi="Times New Roman" w:cs="Times New Roman"/>
          <w:i/>
          <w:sz w:val="24"/>
          <w:szCs w:val="24"/>
        </w:rPr>
      </w:pPr>
      <w:r>
        <w:rPr>
          <w:rFonts w:ascii="Times New Roman" w:hAnsi="Times New Roman" w:cs="Times New Roman"/>
          <w:i/>
          <w:sz w:val="24"/>
          <w:szCs w:val="24"/>
        </w:rPr>
        <w:t>Литература</w:t>
      </w:r>
    </w:p>
    <w:p w:rsidR="00045204" w:rsidRPr="000C1DAC" w:rsidRDefault="00045204" w:rsidP="00045204">
      <w:pPr>
        <w:widowControl w:val="0"/>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 xml:space="preserve">1. </w:t>
      </w:r>
      <w:proofErr w:type="spellStart"/>
      <w:r w:rsidRPr="000C1DAC">
        <w:rPr>
          <w:rFonts w:ascii="Times New Roman" w:hAnsi="Times New Roman" w:cs="Times New Roman"/>
          <w:sz w:val="24"/>
          <w:szCs w:val="24"/>
        </w:rPr>
        <w:t>Баевский</w:t>
      </w:r>
      <w:proofErr w:type="spellEnd"/>
      <w:r w:rsidRPr="000C1DAC">
        <w:rPr>
          <w:rFonts w:ascii="Times New Roman" w:hAnsi="Times New Roman" w:cs="Times New Roman"/>
          <w:sz w:val="24"/>
          <w:szCs w:val="24"/>
        </w:rPr>
        <w:t>, Р.М. Оценка эффективности профилактических мероприятий на основе измерения адаптационного потенциала системы кровообращения /</w:t>
      </w:r>
      <w:r>
        <w:rPr>
          <w:rFonts w:ascii="Times New Roman" w:hAnsi="Times New Roman" w:cs="Times New Roman"/>
          <w:sz w:val="24"/>
          <w:szCs w:val="24"/>
        </w:rPr>
        <w:t xml:space="preserve"> </w:t>
      </w:r>
      <w:proofErr w:type="spellStart"/>
      <w:r w:rsidRPr="000C1DAC">
        <w:rPr>
          <w:rFonts w:ascii="Times New Roman" w:hAnsi="Times New Roman" w:cs="Times New Roman"/>
          <w:sz w:val="24"/>
          <w:szCs w:val="24"/>
        </w:rPr>
        <w:lastRenderedPageBreak/>
        <w:t>Р.М.Баевский</w:t>
      </w:r>
      <w:proofErr w:type="spellEnd"/>
      <w:r w:rsidRPr="000C1DAC">
        <w:rPr>
          <w:rFonts w:ascii="Times New Roman" w:hAnsi="Times New Roman" w:cs="Times New Roman"/>
          <w:sz w:val="24"/>
          <w:szCs w:val="24"/>
        </w:rPr>
        <w:t xml:space="preserve">, </w:t>
      </w:r>
      <w:proofErr w:type="spellStart"/>
      <w:r w:rsidRPr="000C1DAC">
        <w:rPr>
          <w:rFonts w:ascii="Times New Roman" w:hAnsi="Times New Roman" w:cs="Times New Roman"/>
          <w:sz w:val="24"/>
          <w:szCs w:val="24"/>
        </w:rPr>
        <w:t>А.П.Берсенева</w:t>
      </w:r>
      <w:proofErr w:type="spellEnd"/>
      <w:r w:rsidRPr="000C1DAC">
        <w:rPr>
          <w:rFonts w:ascii="Times New Roman" w:hAnsi="Times New Roman" w:cs="Times New Roman"/>
          <w:sz w:val="24"/>
          <w:szCs w:val="24"/>
        </w:rPr>
        <w:t xml:space="preserve"> // Здравоохранение Российской Федерации. – 1987.</w:t>
      </w:r>
      <w:r>
        <w:rPr>
          <w:rFonts w:ascii="Times New Roman" w:hAnsi="Times New Roman" w:cs="Times New Roman"/>
          <w:sz w:val="24"/>
          <w:szCs w:val="24"/>
        </w:rPr>
        <w:t xml:space="preserve"> </w:t>
      </w:r>
      <w:r w:rsidRPr="000C1DAC">
        <w:rPr>
          <w:rFonts w:ascii="Times New Roman" w:hAnsi="Times New Roman" w:cs="Times New Roman"/>
          <w:sz w:val="24"/>
          <w:szCs w:val="24"/>
        </w:rPr>
        <w:t>–</w:t>
      </w:r>
      <w:r>
        <w:rPr>
          <w:rFonts w:ascii="Times New Roman" w:hAnsi="Times New Roman" w:cs="Times New Roman"/>
          <w:sz w:val="24"/>
          <w:szCs w:val="24"/>
        </w:rPr>
        <w:t xml:space="preserve"> </w:t>
      </w:r>
      <w:r w:rsidRPr="000C1DAC">
        <w:rPr>
          <w:rFonts w:ascii="Times New Roman" w:hAnsi="Times New Roman" w:cs="Times New Roman"/>
          <w:sz w:val="24"/>
          <w:szCs w:val="24"/>
        </w:rPr>
        <w:t>№8. – С.6–10</w:t>
      </w:r>
    </w:p>
    <w:p w:rsidR="00045204" w:rsidRPr="000C1DAC" w:rsidRDefault="00045204" w:rsidP="00045204">
      <w:pPr>
        <w:widowControl w:val="0"/>
        <w:spacing w:line="240" w:lineRule="auto"/>
        <w:ind w:firstLine="703"/>
        <w:jc w:val="both"/>
        <w:rPr>
          <w:rFonts w:ascii="Times New Roman" w:hAnsi="Times New Roman" w:cs="Times New Roman"/>
          <w:sz w:val="24"/>
          <w:szCs w:val="24"/>
        </w:rPr>
      </w:pPr>
      <w:r w:rsidRPr="000C1DAC">
        <w:rPr>
          <w:rFonts w:ascii="Times New Roman" w:hAnsi="Times New Roman" w:cs="Times New Roman"/>
          <w:sz w:val="24"/>
          <w:szCs w:val="24"/>
        </w:rPr>
        <w:t xml:space="preserve">2. </w:t>
      </w:r>
      <w:proofErr w:type="spellStart"/>
      <w:r w:rsidRPr="000C1DAC">
        <w:rPr>
          <w:rFonts w:ascii="Times New Roman" w:hAnsi="Times New Roman" w:cs="Times New Roman"/>
          <w:sz w:val="24"/>
          <w:szCs w:val="24"/>
        </w:rPr>
        <w:t>Досин</w:t>
      </w:r>
      <w:proofErr w:type="spellEnd"/>
      <w:r w:rsidRPr="000C1DAC">
        <w:rPr>
          <w:rFonts w:ascii="Times New Roman" w:hAnsi="Times New Roman" w:cs="Times New Roman"/>
          <w:sz w:val="24"/>
          <w:szCs w:val="24"/>
        </w:rPr>
        <w:t>, Ю.М. Роль преподавателя физической культуры по устранению перегрузки и сохранению здоровья учащихся в процессе обучения. Современное состояние и пути развития системы повышения квалификации и переподготовки педагогических кадров: мат-</w:t>
      </w:r>
      <w:proofErr w:type="spellStart"/>
      <w:r w:rsidRPr="000C1DAC">
        <w:rPr>
          <w:rFonts w:ascii="Times New Roman" w:hAnsi="Times New Roman" w:cs="Times New Roman"/>
          <w:sz w:val="24"/>
          <w:szCs w:val="24"/>
        </w:rPr>
        <w:t>лы</w:t>
      </w:r>
      <w:proofErr w:type="spellEnd"/>
      <w:r w:rsidRPr="000C1DAC">
        <w:rPr>
          <w:rFonts w:ascii="Times New Roman" w:hAnsi="Times New Roman" w:cs="Times New Roman"/>
          <w:sz w:val="24"/>
          <w:szCs w:val="24"/>
        </w:rPr>
        <w:t xml:space="preserve"> научно-практической </w:t>
      </w:r>
      <w:proofErr w:type="spellStart"/>
      <w:r w:rsidRPr="000C1DAC">
        <w:rPr>
          <w:rFonts w:ascii="Times New Roman" w:hAnsi="Times New Roman" w:cs="Times New Roman"/>
          <w:sz w:val="24"/>
          <w:szCs w:val="24"/>
        </w:rPr>
        <w:t>конф</w:t>
      </w:r>
      <w:proofErr w:type="spellEnd"/>
      <w:r w:rsidRPr="000C1DAC">
        <w:rPr>
          <w:rFonts w:ascii="Times New Roman" w:hAnsi="Times New Roman" w:cs="Times New Roman"/>
          <w:sz w:val="24"/>
          <w:szCs w:val="24"/>
        </w:rPr>
        <w:t>.</w:t>
      </w:r>
      <w:r>
        <w:rPr>
          <w:rFonts w:ascii="Times New Roman" w:hAnsi="Times New Roman" w:cs="Times New Roman"/>
          <w:sz w:val="24"/>
          <w:szCs w:val="24"/>
        </w:rPr>
        <w:t xml:space="preserve"> </w:t>
      </w:r>
      <w:r w:rsidRPr="000C1DAC">
        <w:rPr>
          <w:rFonts w:ascii="Times New Roman" w:hAnsi="Times New Roman" w:cs="Times New Roman"/>
          <w:sz w:val="24"/>
          <w:szCs w:val="24"/>
        </w:rPr>
        <w:t>–</w:t>
      </w:r>
      <w:r>
        <w:rPr>
          <w:rFonts w:ascii="Times New Roman" w:hAnsi="Times New Roman" w:cs="Times New Roman"/>
          <w:sz w:val="24"/>
          <w:szCs w:val="24"/>
        </w:rPr>
        <w:t xml:space="preserve"> </w:t>
      </w:r>
      <w:r w:rsidRPr="000C1DAC">
        <w:rPr>
          <w:rFonts w:ascii="Times New Roman" w:hAnsi="Times New Roman" w:cs="Times New Roman"/>
          <w:sz w:val="24"/>
          <w:szCs w:val="24"/>
        </w:rPr>
        <w:t>Минск, БГУФК.</w:t>
      </w:r>
      <w:r>
        <w:rPr>
          <w:rFonts w:ascii="Times New Roman" w:hAnsi="Times New Roman" w:cs="Times New Roman"/>
          <w:sz w:val="24"/>
          <w:szCs w:val="24"/>
        </w:rPr>
        <w:t xml:space="preserve"> </w:t>
      </w:r>
      <w:r w:rsidRPr="000C1DAC">
        <w:rPr>
          <w:rFonts w:ascii="Times New Roman" w:hAnsi="Times New Roman" w:cs="Times New Roman"/>
          <w:sz w:val="24"/>
          <w:szCs w:val="24"/>
        </w:rPr>
        <w:t>–</w:t>
      </w:r>
      <w:r>
        <w:rPr>
          <w:rFonts w:ascii="Times New Roman" w:hAnsi="Times New Roman" w:cs="Times New Roman"/>
          <w:sz w:val="24"/>
          <w:szCs w:val="24"/>
        </w:rPr>
        <w:t xml:space="preserve"> </w:t>
      </w:r>
      <w:r w:rsidRPr="000C1DAC">
        <w:rPr>
          <w:rFonts w:ascii="Times New Roman" w:hAnsi="Times New Roman" w:cs="Times New Roman"/>
          <w:sz w:val="24"/>
          <w:szCs w:val="24"/>
        </w:rPr>
        <w:t>2011.</w:t>
      </w:r>
      <w:r>
        <w:rPr>
          <w:rFonts w:ascii="Times New Roman" w:hAnsi="Times New Roman" w:cs="Times New Roman"/>
          <w:sz w:val="24"/>
          <w:szCs w:val="24"/>
        </w:rPr>
        <w:t xml:space="preserve"> </w:t>
      </w:r>
      <w:r w:rsidRPr="000C1DAC">
        <w:rPr>
          <w:rFonts w:ascii="Times New Roman" w:hAnsi="Times New Roman" w:cs="Times New Roman"/>
          <w:sz w:val="24"/>
          <w:szCs w:val="24"/>
        </w:rPr>
        <w:t>–</w:t>
      </w:r>
      <w:r>
        <w:rPr>
          <w:rFonts w:ascii="Times New Roman" w:hAnsi="Times New Roman" w:cs="Times New Roman"/>
          <w:sz w:val="24"/>
          <w:szCs w:val="24"/>
        </w:rPr>
        <w:t xml:space="preserve"> </w:t>
      </w:r>
      <w:r w:rsidRPr="000C1DAC">
        <w:rPr>
          <w:rFonts w:ascii="Times New Roman" w:hAnsi="Times New Roman" w:cs="Times New Roman"/>
          <w:sz w:val="24"/>
          <w:szCs w:val="24"/>
        </w:rPr>
        <w:t>С.</w:t>
      </w:r>
      <w:r>
        <w:rPr>
          <w:rFonts w:ascii="Times New Roman" w:hAnsi="Times New Roman" w:cs="Times New Roman"/>
          <w:sz w:val="24"/>
          <w:szCs w:val="24"/>
        </w:rPr>
        <w:t xml:space="preserve"> </w:t>
      </w:r>
      <w:r w:rsidRPr="000C1DAC">
        <w:rPr>
          <w:rFonts w:ascii="Times New Roman" w:hAnsi="Times New Roman" w:cs="Times New Roman"/>
          <w:sz w:val="24"/>
          <w:szCs w:val="24"/>
        </w:rPr>
        <w:t xml:space="preserve">141–144.  </w:t>
      </w:r>
    </w:p>
    <w:p w:rsidR="00045204" w:rsidRPr="000C1DAC" w:rsidRDefault="00045204" w:rsidP="00045204">
      <w:pPr>
        <w:widowControl w:val="0"/>
        <w:spacing w:line="240" w:lineRule="auto"/>
        <w:ind w:firstLine="703"/>
        <w:jc w:val="both"/>
        <w:rPr>
          <w:rFonts w:ascii="Times New Roman" w:hAnsi="Times New Roman" w:cs="Times New Roman"/>
          <w:spacing w:val="-6"/>
          <w:sz w:val="24"/>
          <w:szCs w:val="24"/>
        </w:rPr>
      </w:pPr>
      <w:r w:rsidRPr="000C1DAC">
        <w:rPr>
          <w:rFonts w:ascii="Times New Roman" w:hAnsi="Times New Roman" w:cs="Times New Roman"/>
          <w:sz w:val="24"/>
          <w:szCs w:val="24"/>
        </w:rPr>
        <w:t xml:space="preserve">3. Игонина, Е.Н. Двигательная активность как фактор оздоровления студентов / Е.Н. Игонина // </w:t>
      </w:r>
      <w:r w:rsidRPr="000C1DAC">
        <w:rPr>
          <w:rFonts w:ascii="Times New Roman" w:hAnsi="Times New Roman" w:cs="Times New Roman"/>
          <w:bCs/>
          <w:spacing w:val="-3"/>
          <w:sz w:val="24"/>
          <w:szCs w:val="24"/>
        </w:rPr>
        <w:t xml:space="preserve">Здоровье для всех: </w:t>
      </w:r>
      <w:r w:rsidRPr="000C1DAC">
        <w:rPr>
          <w:rFonts w:ascii="Times New Roman" w:hAnsi="Times New Roman" w:cs="Times New Roman"/>
          <w:spacing w:val="-3"/>
          <w:sz w:val="24"/>
          <w:szCs w:val="24"/>
        </w:rPr>
        <w:t>материалы четвертой международной научно-</w:t>
      </w:r>
      <w:r w:rsidRPr="000C1DAC">
        <w:rPr>
          <w:rFonts w:ascii="Times New Roman" w:hAnsi="Times New Roman" w:cs="Times New Roman"/>
          <w:spacing w:val="-7"/>
          <w:sz w:val="24"/>
          <w:szCs w:val="24"/>
        </w:rPr>
        <w:t xml:space="preserve">практической конференции, УО </w:t>
      </w:r>
      <w:r>
        <w:rPr>
          <w:rFonts w:ascii="Times New Roman" w:hAnsi="Times New Roman" w:cs="Times New Roman"/>
          <w:spacing w:val="-7"/>
          <w:sz w:val="24"/>
          <w:szCs w:val="24"/>
        </w:rPr>
        <w:t>«</w:t>
      </w:r>
      <w:proofErr w:type="spellStart"/>
      <w:r w:rsidRPr="000C1DAC">
        <w:rPr>
          <w:rFonts w:ascii="Times New Roman" w:hAnsi="Times New Roman" w:cs="Times New Roman"/>
          <w:spacing w:val="-7"/>
          <w:sz w:val="24"/>
          <w:szCs w:val="24"/>
        </w:rPr>
        <w:t>Полесский</w:t>
      </w:r>
      <w:proofErr w:type="spellEnd"/>
      <w:r w:rsidRPr="000C1DAC">
        <w:rPr>
          <w:rFonts w:ascii="Times New Roman" w:hAnsi="Times New Roman" w:cs="Times New Roman"/>
          <w:spacing w:val="-7"/>
          <w:sz w:val="24"/>
          <w:szCs w:val="24"/>
        </w:rPr>
        <w:t xml:space="preserve"> государственный универси</w:t>
      </w:r>
      <w:r w:rsidRPr="000C1DAC">
        <w:rPr>
          <w:rFonts w:ascii="Times New Roman" w:hAnsi="Times New Roman" w:cs="Times New Roman"/>
          <w:spacing w:val="-5"/>
          <w:sz w:val="24"/>
          <w:szCs w:val="24"/>
        </w:rPr>
        <w:t>тет</w:t>
      </w:r>
      <w:r>
        <w:rPr>
          <w:rFonts w:ascii="Times New Roman" w:hAnsi="Times New Roman" w:cs="Times New Roman"/>
          <w:spacing w:val="-5"/>
          <w:sz w:val="24"/>
          <w:szCs w:val="24"/>
        </w:rPr>
        <w:t>»</w:t>
      </w:r>
      <w:r w:rsidRPr="000C1DAC">
        <w:rPr>
          <w:rFonts w:ascii="Times New Roman" w:hAnsi="Times New Roman" w:cs="Times New Roman"/>
          <w:spacing w:val="-5"/>
          <w:sz w:val="24"/>
          <w:szCs w:val="24"/>
        </w:rPr>
        <w:t>, г. Пинск, 26</w:t>
      </w:r>
      <w:r w:rsidRPr="000C1DAC">
        <w:rPr>
          <w:rFonts w:ascii="Times New Roman" w:hAnsi="Times New Roman" w:cs="Times New Roman"/>
          <w:sz w:val="24"/>
          <w:szCs w:val="24"/>
        </w:rPr>
        <w:t>–</w:t>
      </w:r>
      <w:r w:rsidRPr="000C1DAC">
        <w:rPr>
          <w:rFonts w:ascii="Times New Roman" w:hAnsi="Times New Roman" w:cs="Times New Roman"/>
          <w:spacing w:val="-5"/>
          <w:sz w:val="24"/>
          <w:szCs w:val="24"/>
        </w:rPr>
        <w:t xml:space="preserve">27 апреля </w:t>
      </w:r>
      <w:smartTag w:uri="urn:schemas-microsoft-com:office:smarttags" w:element="metricconverter">
        <w:smartTagPr>
          <w:attr w:name="ProductID" w:val="2012 г"/>
        </w:smartTagPr>
        <w:r w:rsidRPr="000C1DAC">
          <w:rPr>
            <w:rFonts w:ascii="Times New Roman" w:hAnsi="Times New Roman" w:cs="Times New Roman"/>
            <w:spacing w:val="-5"/>
            <w:sz w:val="24"/>
            <w:szCs w:val="24"/>
          </w:rPr>
          <w:t>2012 г</w:t>
        </w:r>
      </w:smartTag>
      <w:r w:rsidRPr="000C1DAC">
        <w:rPr>
          <w:rFonts w:ascii="Times New Roman" w:hAnsi="Times New Roman" w:cs="Times New Roman"/>
          <w:spacing w:val="-5"/>
          <w:sz w:val="24"/>
          <w:szCs w:val="24"/>
        </w:rPr>
        <w:t>./ Национальный банк Республики Бе</w:t>
      </w:r>
      <w:r w:rsidRPr="000C1DAC">
        <w:rPr>
          <w:rFonts w:ascii="Times New Roman" w:hAnsi="Times New Roman" w:cs="Times New Roman"/>
          <w:spacing w:val="-6"/>
          <w:sz w:val="24"/>
          <w:szCs w:val="24"/>
        </w:rPr>
        <w:t xml:space="preserve">ларусь [и др.]; </w:t>
      </w:r>
      <w:proofErr w:type="spellStart"/>
      <w:r w:rsidRPr="000C1DAC">
        <w:rPr>
          <w:rFonts w:ascii="Times New Roman" w:hAnsi="Times New Roman" w:cs="Times New Roman"/>
          <w:spacing w:val="-6"/>
          <w:sz w:val="24"/>
          <w:szCs w:val="24"/>
        </w:rPr>
        <w:t>редкол</w:t>
      </w:r>
      <w:proofErr w:type="spellEnd"/>
      <w:r w:rsidRPr="000C1DAC">
        <w:rPr>
          <w:rFonts w:ascii="Times New Roman" w:hAnsi="Times New Roman" w:cs="Times New Roman"/>
          <w:spacing w:val="-6"/>
          <w:sz w:val="24"/>
          <w:szCs w:val="24"/>
        </w:rPr>
        <w:t xml:space="preserve">.: </w:t>
      </w:r>
      <w:proofErr w:type="spellStart"/>
      <w:r w:rsidRPr="000C1DAC">
        <w:rPr>
          <w:rFonts w:ascii="Times New Roman" w:hAnsi="Times New Roman" w:cs="Times New Roman"/>
          <w:spacing w:val="-6"/>
          <w:sz w:val="24"/>
          <w:szCs w:val="24"/>
        </w:rPr>
        <w:t>К.К.Шебеко</w:t>
      </w:r>
      <w:proofErr w:type="spellEnd"/>
      <w:r w:rsidRPr="000C1DAC">
        <w:rPr>
          <w:rFonts w:ascii="Times New Roman" w:hAnsi="Times New Roman" w:cs="Times New Roman"/>
          <w:spacing w:val="-6"/>
          <w:sz w:val="24"/>
          <w:szCs w:val="24"/>
        </w:rPr>
        <w:t xml:space="preserve"> [и др.]. </w:t>
      </w:r>
      <w:r w:rsidRPr="000C1DAC">
        <w:rPr>
          <w:rFonts w:ascii="Times New Roman" w:hAnsi="Times New Roman" w:cs="Times New Roman"/>
          <w:sz w:val="24"/>
          <w:szCs w:val="24"/>
        </w:rPr>
        <w:t>–</w:t>
      </w:r>
      <w:r w:rsidRPr="000C1DAC">
        <w:rPr>
          <w:rFonts w:ascii="Times New Roman" w:hAnsi="Times New Roman" w:cs="Times New Roman"/>
          <w:spacing w:val="-6"/>
          <w:sz w:val="24"/>
          <w:szCs w:val="24"/>
        </w:rPr>
        <w:t xml:space="preserve"> Пинск: </w:t>
      </w:r>
      <w:proofErr w:type="spellStart"/>
      <w:r w:rsidRPr="000C1DAC">
        <w:rPr>
          <w:rFonts w:ascii="Times New Roman" w:hAnsi="Times New Roman" w:cs="Times New Roman"/>
          <w:spacing w:val="-6"/>
          <w:sz w:val="24"/>
          <w:szCs w:val="24"/>
        </w:rPr>
        <w:t>ПолесГУ</w:t>
      </w:r>
      <w:proofErr w:type="spellEnd"/>
      <w:r w:rsidRPr="000C1DAC">
        <w:rPr>
          <w:rFonts w:ascii="Times New Roman" w:hAnsi="Times New Roman" w:cs="Times New Roman"/>
          <w:spacing w:val="-6"/>
          <w:sz w:val="24"/>
          <w:szCs w:val="24"/>
        </w:rPr>
        <w:t>, 2012. – 284</w:t>
      </w:r>
      <w:r>
        <w:rPr>
          <w:rFonts w:ascii="Times New Roman" w:hAnsi="Times New Roman" w:cs="Times New Roman"/>
          <w:spacing w:val="-6"/>
          <w:sz w:val="24"/>
          <w:szCs w:val="24"/>
        </w:rPr>
        <w:t xml:space="preserve"> </w:t>
      </w:r>
      <w:r w:rsidRPr="000C1DAC">
        <w:rPr>
          <w:rFonts w:ascii="Times New Roman" w:hAnsi="Times New Roman" w:cs="Times New Roman"/>
          <w:spacing w:val="-6"/>
          <w:sz w:val="24"/>
          <w:szCs w:val="24"/>
        </w:rPr>
        <w:t xml:space="preserve">с. </w:t>
      </w:r>
    </w:p>
    <w:p w:rsidR="00765DEE" w:rsidRPr="00045204" w:rsidRDefault="00765DEE" w:rsidP="00045204">
      <w:bookmarkStart w:id="0" w:name="_GoBack"/>
      <w:bookmarkEnd w:id="0"/>
    </w:p>
    <w:sectPr w:rsidR="00765DEE" w:rsidRPr="000452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8A" w:rsidRDefault="00A0298A" w:rsidP="00A03BCD">
      <w:pPr>
        <w:spacing w:line="240" w:lineRule="auto"/>
      </w:pPr>
      <w:r>
        <w:separator/>
      </w:r>
    </w:p>
  </w:endnote>
  <w:endnote w:type="continuationSeparator" w:id="0">
    <w:p w:rsidR="00A0298A" w:rsidRDefault="00A0298A" w:rsidP="00A0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8A" w:rsidRDefault="00A0298A" w:rsidP="00A03BCD">
      <w:pPr>
        <w:spacing w:line="240" w:lineRule="auto"/>
      </w:pPr>
      <w:r>
        <w:separator/>
      </w:r>
    </w:p>
  </w:footnote>
  <w:footnote w:type="continuationSeparator" w:id="0">
    <w:p w:rsidR="00A0298A" w:rsidRDefault="00A0298A" w:rsidP="00A03B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298A">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298A">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3"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298A">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1"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7D3B"/>
    <w:multiLevelType w:val="hybridMultilevel"/>
    <w:tmpl w:val="B4AA4C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FF"/>
    <w:rsid w:val="00045204"/>
    <w:rsid w:val="00765DEE"/>
    <w:rsid w:val="008B6CFF"/>
    <w:rsid w:val="00946D06"/>
    <w:rsid w:val="00A0298A"/>
    <w:rsid w:val="00A03BCD"/>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8096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ANATOL</cp:lastModifiedBy>
  <cp:revision>2</cp:revision>
  <dcterms:created xsi:type="dcterms:W3CDTF">2015-05-23T20:37:00Z</dcterms:created>
  <dcterms:modified xsi:type="dcterms:W3CDTF">2015-05-23T20:37:00Z</dcterms:modified>
</cp:coreProperties>
</file>