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30" w:rsidRDefault="00074E30" w:rsidP="00074E30">
      <w:pPr>
        <w:widowControl w:val="0"/>
        <w:spacing w:before="24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1DAC">
        <w:rPr>
          <w:rFonts w:ascii="Times New Roman" w:hAnsi="Times New Roman" w:cs="Times New Roman"/>
          <w:b/>
          <w:caps/>
          <w:sz w:val="28"/>
          <w:szCs w:val="28"/>
        </w:rPr>
        <w:t>комплекс генетических полиморфизмов, определяющих физическую устойчивость спортсменов-единоборцев</w:t>
      </w:r>
    </w:p>
    <w:p w:rsidR="00074E30" w:rsidRPr="000C1DAC" w:rsidRDefault="00074E30" w:rsidP="00074E30">
      <w:pPr>
        <w:widowControl w:val="0"/>
        <w:spacing w:before="24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074E30" w:rsidRPr="000C1DAC" w:rsidRDefault="00074E30" w:rsidP="00074E30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1DAC">
        <w:rPr>
          <w:rFonts w:ascii="Times New Roman" w:hAnsi="Times New Roman" w:cs="Times New Roman"/>
          <w:i/>
          <w:sz w:val="28"/>
          <w:szCs w:val="28"/>
        </w:rPr>
        <w:t>Гробовикова</w:t>
      </w:r>
      <w:proofErr w:type="spellEnd"/>
      <w:r w:rsidRPr="000C1DAC">
        <w:rPr>
          <w:rFonts w:ascii="Times New Roman" w:hAnsi="Times New Roman" w:cs="Times New Roman"/>
          <w:i/>
          <w:sz w:val="28"/>
          <w:szCs w:val="28"/>
        </w:rPr>
        <w:t xml:space="preserve"> И.Ю., Соловьёва Н.Г.</w:t>
      </w:r>
    </w:p>
    <w:p w:rsidR="00074E30" w:rsidRPr="00074E30" w:rsidRDefault="00074E30" w:rsidP="00074E30">
      <w:pPr>
        <w:widowControl w:val="0"/>
        <w:tabs>
          <w:tab w:val="left" w:pos="0"/>
        </w:tabs>
        <w:spacing w:line="240" w:lineRule="auto"/>
        <w:ind w:left="1080" w:right="-1"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proofErr w:type="gramStart"/>
      <w:r w:rsidRPr="00074E30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.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М</w:t>
      </w:r>
      <w:proofErr w:type="gramEnd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инск</w:t>
      </w:r>
      <w:r w:rsidRPr="00074E30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,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074E30" w:rsidRPr="00074E30" w:rsidRDefault="00074E30" w:rsidP="00074E30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74E30" w:rsidRPr="00AD6234" w:rsidRDefault="00074E30" w:rsidP="00074E30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E0582">
        <w:rPr>
          <w:rFonts w:ascii="Times New Roman" w:hAnsi="Times New Roman" w:cs="Times New Roman"/>
          <w:i/>
          <w:sz w:val="28"/>
          <w:szCs w:val="28"/>
          <w:lang w:val="en-US"/>
        </w:rPr>
        <w:t>The article shows the physical stability athletes</w:t>
      </w:r>
      <w:r w:rsidRPr="00AD623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074E30" w:rsidRPr="008E0582" w:rsidRDefault="00074E30" w:rsidP="00074E30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74E30" w:rsidRPr="000C1DAC" w:rsidRDefault="00074E30" w:rsidP="00074E3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В области спорта высоких достижений одной из наиболее актуальных задач является проблема поиска спортивных талантов. Спортивная успешность зависит от средовых влияний и от наследственной предрасположенности организма к проявлению определенных физических качеств и переносимости физических нагрузок [1]. Оценить генетическую компоненту, детерминирующую развитие и предел физических возможностей организма, его композиционный скелетно-мышечный состав и энергетические потенции, позволяют методы молекулярной диагностики полиморфизмов генов [2, 3]. Все возрастающая 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конкуренция в реалиях международных соревнований, а также тренировочные программы, выполнение которых зачастую превышает адаптационные резервы организма, обусловливают поиск генов-кандидатов предрасположенности к проявлению необходимых физических качеств и переносимости спортивных нагрузок. В качестве таких предикторов могут быть рассмотрены полиморфные генетические системы в свете их ассоциации с </w:t>
      </w:r>
      <w:proofErr w:type="gramStart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сердечно-сосудистой</w:t>
      </w:r>
      <w:proofErr w:type="gramEnd"/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системой, обменом веществ и композицией мышечных волокон: </w:t>
      </w:r>
      <w:proofErr w:type="spellStart"/>
      <w:proofErr w:type="gramStart"/>
      <w:r w:rsidRPr="000C1DAC">
        <w:rPr>
          <w:rFonts w:ascii="Times New Roman" w:hAnsi="Times New Roman" w:cs="Times New Roman"/>
          <w:sz w:val="24"/>
          <w:szCs w:val="24"/>
          <w:lang w:val="en-US"/>
        </w:rPr>
        <w:t>Alu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I/D полиморфизм гена </w:t>
      </w:r>
      <w:r w:rsidRPr="000C1DAC">
        <w:rPr>
          <w:rFonts w:ascii="Times New Roman" w:hAnsi="Times New Roman" w:cs="Times New Roman"/>
          <w:i/>
          <w:iCs/>
          <w:sz w:val="24"/>
          <w:szCs w:val="24"/>
        </w:rPr>
        <w:t>АСЕ,</w:t>
      </w:r>
      <w:r w:rsidRPr="000C1DAC"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C1DAC">
        <w:rPr>
          <w:rFonts w:ascii="Times New Roman" w:hAnsi="Times New Roman" w:cs="Times New Roman"/>
          <w:sz w:val="24"/>
          <w:szCs w:val="24"/>
        </w:rPr>
        <w:t>1747</w:t>
      </w:r>
      <w:r w:rsidRPr="000C1DA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C1DAC">
        <w:rPr>
          <w:rFonts w:ascii="Times New Roman" w:hAnsi="Times New Roman" w:cs="Times New Roman"/>
          <w:sz w:val="24"/>
          <w:szCs w:val="24"/>
        </w:rPr>
        <w:t xml:space="preserve"> полиморфизм гена </w:t>
      </w:r>
      <w:r w:rsidRPr="000C1DAC">
        <w:rPr>
          <w:rFonts w:ascii="Times New Roman" w:hAnsi="Times New Roman" w:cs="Times New Roman"/>
          <w:i/>
          <w:iCs/>
          <w:sz w:val="24"/>
          <w:szCs w:val="24"/>
          <w:lang w:val="en-US"/>
        </w:rPr>
        <w:t>ACTN</w:t>
      </w:r>
      <w:r w:rsidRPr="000C1DAC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C1DAC">
        <w:rPr>
          <w:rFonts w:ascii="Times New Roman" w:hAnsi="Times New Roman" w:cs="Times New Roman"/>
          <w:sz w:val="24"/>
          <w:szCs w:val="24"/>
        </w:rPr>
        <w:t xml:space="preserve">, </w:t>
      </w:r>
      <w:r w:rsidRPr="000C1DA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C1DAC">
        <w:rPr>
          <w:rFonts w:ascii="Times New Roman" w:hAnsi="Times New Roman" w:cs="Times New Roman"/>
          <w:sz w:val="24"/>
          <w:szCs w:val="24"/>
        </w:rPr>
        <w:t>2528</w:t>
      </w:r>
      <w:r w:rsidRPr="000C1DA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C1DAC">
        <w:rPr>
          <w:rFonts w:ascii="Times New Roman" w:hAnsi="Times New Roman" w:cs="Times New Roman"/>
          <w:sz w:val="24"/>
          <w:szCs w:val="24"/>
        </w:rPr>
        <w:t xml:space="preserve"> полиморфизм гена </w:t>
      </w:r>
      <w:r w:rsidRPr="000C1DAC">
        <w:rPr>
          <w:rFonts w:ascii="Times New Roman" w:hAnsi="Times New Roman" w:cs="Times New Roman"/>
          <w:i/>
          <w:iCs/>
          <w:sz w:val="24"/>
          <w:szCs w:val="24"/>
        </w:rPr>
        <w:t>PPARA,</w:t>
      </w:r>
      <w:r w:rsidRPr="000C1DAC"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0C1DAC">
        <w:rPr>
          <w:rFonts w:ascii="Times New Roman" w:hAnsi="Times New Roman" w:cs="Times New Roman"/>
          <w:sz w:val="24"/>
          <w:szCs w:val="24"/>
        </w:rPr>
        <w:t>12</w:t>
      </w:r>
      <w:r w:rsidRPr="000C1DAC">
        <w:rPr>
          <w:rFonts w:ascii="Times New Roman" w:hAnsi="Times New Roman" w:cs="Times New Roman"/>
          <w:sz w:val="24"/>
          <w:szCs w:val="24"/>
          <w:lang w:val="en-US"/>
        </w:rPr>
        <w:t>Ala</w:t>
      </w:r>
      <w:r w:rsidRPr="000C1DAC">
        <w:rPr>
          <w:rFonts w:ascii="Times New Roman" w:hAnsi="Times New Roman" w:cs="Times New Roman"/>
          <w:sz w:val="24"/>
          <w:szCs w:val="24"/>
        </w:rPr>
        <w:t xml:space="preserve"> полиморфизм гена </w:t>
      </w:r>
      <w:r w:rsidRPr="000C1DAC">
        <w:rPr>
          <w:rFonts w:ascii="Times New Roman" w:hAnsi="Times New Roman" w:cs="Times New Roman"/>
          <w:i/>
          <w:iCs/>
          <w:sz w:val="24"/>
          <w:szCs w:val="24"/>
        </w:rPr>
        <w:t>PPAR</w:t>
      </w:r>
      <w:r w:rsidRPr="000C1DAC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0C1DAC">
        <w:rPr>
          <w:rFonts w:ascii="Times New Roman" w:hAnsi="Times New Roman" w:cs="Times New Roman"/>
          <w:i/>
          <w:iCs/>
          <w:sz w:val="24"/>
          <w:szCs w:val="24"/>
        </w:rPr>
        <w:t>2,</w:t>
      </w:r>
      <w:r w:rsidRPr="000C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val="en-US"/>
        </w:rPr>
        <w:t>Gly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482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val="en-US"/>
        </w:rPr>
        <w:t>Ser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полиморфизм гена </w:t>
      </w:r>
      <w:r w:rsidRPr="000C1DAC">
        <w:rPr>
          <w:rFonts w:ascii="Times New Roman" w:hAnsi="Times New Roman" w:cs="Times New Roman"/>
          <w:i/>
          <w:iCs/>
          <w:sz w:val="24"/>
          <w:szCs w:val="24"/>
          <w:lang w:val="en-US"/>
        </w:rPr>
        <w:t>PGC</w:t>
      </w:r>
      <w:r w:rsidRPr="000C1DA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C1DAC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0C1DA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0C1D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iCs/>
          <w:sz w:val="24"/>
          <w:szCs w:val="24"/>
        </w:rPr>
        <w:t xml:space="preserve">Учитывая вышесказанное, цель исследования заключалась в </w:t>
      </w:r>
      <w:r w:rsidRPr="000C1DAC">
        <w:rPr>
          <w:rFonts w:ascii="Times New Roman" w:hAnsi="Times New Roman" w:cs="Times New Roman"/>
          <w:sz w:val="24"/>
          <w:szCs w:val="24"/>
        </w:rPr>
        <w:t xml:space="preserve">разработке 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комплекса анализа функциональной устойчивости организма спортсменов-единоборцев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к экстремальным физическим нагрузкам и совершенствованию физических качеств по пяти полиморфным генетическим системам.</w:t>
      </w:r>
    </w:p>
    <w:p w:rsidR="00074E30" w:rsidRPr="000C1DAC" w:rsidRDefault="00074E30" w:rsidP="00074E3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i/>
          <w:iCs/>
          <w:sz w:val="24"/>
          <w:szCs w:val="24"/>
        </w:rPr>
        <w:t>Материалы и методы.</w:t>
      </w:r>
      <w:r w:rsidRPr="000C1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Исследование было проведено на профессиональных спортсменах, специализирующихся в спортивных единоборствах (n=80, средний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возраст – 21,25±0,87 лет). На момент исследования 7 спортсменов являлись мастерами спорта международного класса, 26 – мастерами спорта, 33 – кандидатами в мастера спорта, 14 имели 1-ый взрослый разряд. В качестве контрольной группы выступили клинически здоровые студенты, обучающиеся на факультете физического воспитания БГПУ (</w:t>
      </w:r>
      <w:r w:rsidRPr="000C1D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C1DAC">
        <w:rPr>
          <w:rFonts w:ascii="Times New Roman" w:hAnsi="Times New Roman" w:cs="Times New Roman"/>
          <w:sz w:val="24"/>
          <w:szCs w:val="24"/>
        </w:rPr>
        <w:t xml:space="preserve">=80, средний возраст – 20,64±0,58 лет). Для молекулярно-генетического анализа использовались образцы ДНК испытуемых, выделенные методом щелочной экстракции из эпителиальных клеток ротовой полости. Полиморфизмы генов изучали методом полимеразной цепной реакции (ПЦР). Для определения каждого полиморфизма генов использовали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двухпраймерную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систему. Статистическая обработка данных проводилась с использованием пакета программ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6.0 и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2007. Достоверности различий популяционных частот определяли с использованием критерия </w:t>
      </w:r>
      <w:r w:rsidRPr="000C1DAC">
        <w:rPr>
          <w:rFonts w:ascii="Times New Roman" w:hAnsi="Times New Roman" w:cs="Times New Roman"/>
          <w:sz w:val="24"/>
          <w:szCs w:val="24"/>
          <w:lang w:val="en-US"/>
        </w:rPr>
        <w:t>χ</w:t>
      </w:r>
      <w:r w:rsidRPr="000C1D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DAC">
        <w:rPr>
          <w:rFonts w:ascii="Times New Roman" w:hAnsi="Times New Roman" w:cs="Times New Roman"/>
          <w:sz w:val="24"/>
          <w:szCs w:val="24"/>
        </w:rPr>
        <w:t xml:space="preserve">. Различия считали статистически значимыми при </w:t>
      </w:r>
      <w:r w:rsidRPr="000C1DA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C1DAC">
        <w:rPr>
          <w:rFonts w:ascii="Times New Roman" w:hAnsi="Times New Roman" w:cs="Times New Roman"/>
          <w:sz w:val="24"/>
          <w:szCs w:val="24"/>
        </w:rPr>
        <w:t>&lt;0,05.</w:t>
      </w:r>
    </w:p>
    <w:p w:rsidR="00074E30" w:rsidRPr="000C1DAC" w:rsidRDefault="00074E30" w:rsidP="00074E3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i/>
          <w:iCs/>
          <w:sz w:val="24"/>
          <w:szCs w:val="24"/>
        </w:rPr>
        <w:t>Результаты и их обсуждение.</w:t>
      </w:r>
      <w:r w:rsidRPr="000C1DAC">
        <w:rPr>
          <w:rFonts w:ascii="Times New Roman" w:hAnsi="Times New Roman" w:cs="Times New Roman"/>
          <w:sz w:val="24"/>
          <w:szCs w:val="24"/>
        </w:rPr>
        <w:t xml:space="preserve"> В результате исследования выявлено статистически значимое преобладание аллели </w:t>
      </w:r>
      <w:r w:rsidRPr="000C1DA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C1DAC">
        <w:rPr>
          <w:rFonts w:ascii="Times New Roman" w:hAnsi="Times New Roman" w:cs="Times New Roman"/>
          <w:sz w:val="24"/>
          <w:szCs w:val="24"/>
        </w:rPr>
        <w:t xml:space="preserve"> у представителей спортивных единоборств (80,46%). В контрольной группе аллели </w:t>
      </w:r>
      <w:r w:rsidRPr="000C1DA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C1DAC">
        <w:rPr>
          <w:rFonts w:ascii="Times New Roman" w:hAnsi="Times New Roman" w:cs="Times New Roman"/>
          <w:sz w:val="24"/>
          <w:szCs w:val="24"/>
        </w:rPr>
        <w:t xml:space="preserve"> и </w:t>
      </w:r>
      <w:r w:rsidRPr="000C1D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1DAC">
        <w:rPr>
          <w:rFonts w:ascii="Times New Roman" w:hAnsi="Times New Roman" w:cs="Times New Roman"/>
          <w:sz w:val="24"/>
          <w:szCs w:val="24"/>
        </w:rPr>
        <w:t xml:space="preserve"> были детектированы с </w:t>
      </w:r>
      <w:r w:rsidRPr="000C1DAC">
        <w:rPr>
          <w:rFonts w:ascii="Times New Roman" w:hAnsi="Times New Roman" w:cs="Times New Roman"/>
          <w:sz w:val="24"/>
          <w:szCs w:val="24"/>
        </w:rPr>
        <w:lastRenderedPageBreak/>
        <w:t xml:space="preserve">частотой 60,52% и 39,48% соответственно. В обеих исследованных выборках частота аллели </w:t>
      </w:r>
      <w:r w:rsidRPr="000C1DA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C1DAC">
        <w:rPr>
          <w:rFonts w:ascii="Times New Roman" w:hAnsi="Times New Roman" w:cs="Times New Roman"/>
          <w:sz w:val="24"/>
          <w:szCs w:val="24"/>
        </w:rPr>
        <w:t xml:space="preserve"> превышала среднее значение, характерное для белорусской популяции [4]. Обнаружено достоверное увеличение частоты генотипа </w:t>
      </w:r>
      <w:r w:rsidRPr="000C1DAC">
        <w:rPr>
          <w:rFonts w:ascii="Times New Roman" w:hAnsi="Times New Roman" w:cs="Times New Roman"/>
          <w:i/>
          <w:iCs/>
          <w:sz w:val="24"/>
          <w:szCs w:val="24"/>
          <w:lang w:val="en-US"/>
        </w:rPr>
        <w:t>ACE</w:t>
      </w:r>
      <w:r w:rsidRPr="000C1DAC"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0C1DAC">
        <w:rPr>
          <w:rFonts w:ascii="Times New Roman" w:hAnsi="Times New Roman" w:cs="Times New Roman"/>
          <w:sz w:val="24"/>
          <w:szCs w:val="24"/>
        </w:rPr>
        <w:t xml:space="preserve"> в группе спортсменов (73,56%) по сравнению с контрольной группой (40,20%). Среди лиц, не занимающихся профессионально спортивной деятельностью, превалирующим был генотип </w:t>
      </w:r>
      <w:r w:rsidRPr="000C1DAC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C1DAC">
        <w:rPr>
          <w:rFonts w:ascii="Times New Roman" w:hAnsi="Times New Roman" w:cs="Times New Roman"/>
          <w:sz w:val="24"/>
          <w:szCs w:val="24"/>
        </w:rPr>
        <w:t xml:space="preserve"> (41,05%), в то время как в группе единоборцев доля гетерозиготного типа составила всего 13,79% (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>&lt;0,05).</w:t>
      </w:r>
    </w:p>
    <w:p w:rsidR="00074E30" w:rsidRPr="000C1DAC" w:rsidRDefault="00074E30" w:rsidP="00074E3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Анализ аллельного распределения по гену </w:t>
      </w:r>
      <w:r w:rsidRPr="000C1DAC">
        <w:rPr>
          <w:rFonts w:ascii="Times New Roman" w:hAnsi="Times New Roman" w:cs="Times New Roman"/>
          <w:i/>
          <w:iCs/>
          <w:sz w:val="24"/>
          <w:szCs w:val="24"/>
        </w:rPr>
        <w:t xml:space="preserve">ACTN3 </w:t>
      </w:r>
      <w:r w:rsidRPr="000C1DAC">
        <w:rPr>
          <w:rFonts w:ascii="Times New Roman" w:hAnsi="Times New Roman" w:cs="Times New Roman"/>
          <w:sz w:val="24"/>
          <w:szCs w:val="24"/>
        </w:rPr>
        <w:t>не выявил статистически значимых различий между группой единоборцев и группой сравнения. Мутантная аллель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у спортсменов встречалась с частотой 35,00%, а в контрольной группе – у 43,33% испытуемых, что согласуется с данными по распространенности аллелей данного полиморфизма гена в европейской популяции [5]. Однако среди квалифицированных единоборцев достоверно чаще встречались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по нормальной аллели по сравнению с не тренирующимися лицами (41,67% и 28,33% соответственно). Также следует отметить меньшую частоту встречаемости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гетерозигот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гомозигот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по мутантной аллели в группе спортсменов.</w:t>
      </w:r>
    </w:p>
    <w:p w:rsidR="00074E30" w:rsidRPr="000C1DAC" w:rsidRDefault="00074E30" w:rsidP="00074E30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Анализ аллельного распределения по гену </w:t>
      </w:r>
      <w:r w:rsidRPr="000C1DAC">
        <w:rPr>
          <w:rFonts w:ascii="Times New Roman" w:hAnsi="Times New Roman" w:cs="Times New Roman"/>
          <w:i/>
          <w:iCs/>
          <w:sz w:val="24"/>
          <w:szCs w:val="24"/>
          <w:lang w:val="en-US"/>
        </w:rPr>
        <w:t>PPAR</w:t>
      </w:r>
      <w:proofErr w:type="gramStart"/>
      <w:r w:rsidRPr="000C1DAC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показал наличие статистически значимых различий между группой единоборцев и контрольной группой. Минорная аллель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достоверно чаще встречалась в группе спортсменов по сравнению с контрольной группой (30,19% против 16,46%). Превалирующим генотипом в обеих группах являлся </w:t>
      </w:r>
      <w:r w:rsidRPr="000C1DAC">
        <w:rPr>
          <w:rFonts w:ascii="Times New Roman" w:hAnsi="Times New Roman" w:cs="Times New Roman"/>
          <w:i/>
          <w:iCs/>
          <w:sz w:val="24"/>
          <w:szCs w:val="24"/>
          <w:lang w:val="en-US"/>
        </w:rPr>
        <w:t>PPAR</w:t>
      </w:r>
      <w:r w:rsidRPr="000C1DA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0C1DAC">
        <w:rPr>
          <w:rFonts w:ascii="Times New Roman" w:hAnsi="Times New Roman" w:cs="Times New Roman"/>
          <w:sz w:val="24"/>
          <w:szCs w:val="24"/>
        </w:rPr>
        <w:t xml:space="preserve"> GG, однако в основной группе частота встречаемости данного генотипа была достоверно ниже, в то время как доля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гомозигот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по мутантной аллели в группе спортсменов составила 13,54% против 1,06% в контрольной группе (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>&lt;0,05).</w:t>
      </w:r>
    </w:p>
    <w:p w:rsidR="00074E30" w:rsidRPr="000C1DAC" w:rsidRDefault="00074E30" w:rsidP="00074E3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Анализ распределения аллелей и генотипов полиморфного </w:t>
      </w:r>
      <w:r w:rsidRPr="000C1DAC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0C1DAC">
        <w:rPr>
          <w:rFonts w:ascii="Times New Roman" w:hAnsi="Times New Roman" w:cs="Times New Roman"/>
          <w:sz w:val="24"/>
          <w:szCs w:val="24"/>
        </w:rPr>
        <w:t>12</w:t>
      </w:r>
      <w:r w:rsidRPr="000C1DAC">
        <w:rPr>
          <w:rFonts w:ascii="Times New Roman" w:hAnsi="Times New Roman" w:cs="Times New Roman"/>
          <w:sz w:val="24"/>
          <w:szCs w:val="24"/>
          <w:lang w:val="en-US"/>
        </w:rPr>
        <w:t>Ala</w:t>
      </w:r>
      <w:r w:rsidRPr="000C1DAC">
        <w:rPr>
          <w:rFonts w:ascii="Times New Roman" w:hAnsi="Times New Roman" w:cs="Times New Roman"/>
          <w:sz w:val="24"/>
          <w:szCs w:val="24"/>
        </w:rPr>
        <w:t xml:space="preserve"> маркера гена </w:t>
      </w:r>
      <w:r w:rsidRPr="000C1DAC">
        <w:rPr>
          <w:rFonts w:ascii="Times New Roman" w:hAnsi="Times New Roman" w:cs="Times New Roman"/>
          <w:i/>
          <w:iCs/>
          <w:sz w:val="24"/>
          <w:szCs w:val="24"/>
        </w:rPr>
        <w:t xml:space="preserve">PPARG </w:t>
      </w:r>
      <w:r w:rsidRPr="000C1DAC">
        <w:rPr>
          <w:rFonts w:ascii="Times New Roman" w:hAnsi="Times New Roman" w:cs="Times New Roman"/>
          <w:sz w:val="24"/>
          <w:szCs w:val="24"/>
        </w:rPr>
        <w:t>не выявил статистически значимых различий в исследуемых выборках. В обеих группах превалирующими оказались генотип</w:t>
      </w:r>
      <w:r w:rsidRPr="000C1DAC">
        <w:rPr>
          <w:rFonts w:ascii="Times New Roman" w:hAnsi="Times New Roman" w:cs="Times New Roman"/>
          <w:i/>
          <w:iCs/>
          <w:sz w:val="24"/>
          <w:szCs w:val="24"/>
        </w:rPr>
        <w:t xml:space="preserve"> PPARG</w:t>
      </w:r>
      <w:r w:rsidRPr="000C1DAC">
        <w:rPr>
          <w:rFonts w:ascii="Times New Roman" w:hAnsi="Times New Roman" w:cs="Times New Roman"/>
          <w:sz w:val="24"/>
          <w:szCs w:val="24"/>
        </w:rPr>
        <w:t xml:space="preserve"> СС (93,20% в группе спортсменов против 91,00% в группе сравнения) и аллель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(96,00% и 95,00% соответственно), что не противоречит литературным данным [1]. Отсутствие статистически значимых различий в группе спортсменов и группе сравнения, скорее всего, связано с относительно редкой встречаемостью данной мутации.</w:t>
      </w:r>
    </w:p>
    <w:p w:rsidR="00074E30" w:rsidRPr="000C1DAC" w:rsidRDefault="00074E30" w:rsidP="00074E30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У представителей единобо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рств ст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атистически значимо преобладала 482Ser аллель гена </w:t>
      </w:r>
      <w:r w:rsidRPr="000C1DAC">
        <w:rPr>
          <w:rFonts w:ascii="Times New Roman" w:hAnsi="Times New Roman" w:cs="Times New Roman"/>
          <w:i/>
          <w:iCs/>
          <w:sz w:val="24"/>
          <w:szCs w:val="24"/>
        </w:rPr>
        <w:t>PGС1А</w:t>
      </w:r>
      <w:r w:rsidRPr="000C1DAC">
        <w:rPr>
          <w:rFonts w:ascii="Times New Roman" w:hAnsi="Times New Roman" w:cs="Times New Roman"/>
          <w:sz w:val="24"/>
          <w:szCs w:val="24"/>
        </w:rPr>
        <w:t xml:space="preserve"> (72,95%). Обнаруженное значение частоты мутантной аллели значительно превышает таковое в контрольной группе (54,09%) и в европейской популяции в целом (34,50%) (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&lt;0,05) [1]. Обнаружено достоверное увеличение частоты встречаемости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гомозигот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по мутантной аллели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и снижение доли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гомозигот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по нормальной аллели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Gly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(6,56% против 21,31% в контрольной группе) (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>&lt;0.05) среди единоборцев по сравнению с не тренирующимися индивидами (52,46% и 29,51% соответственно).</w:t>
      </w:r>
    </w:p>
    <w:p w:rsidR="00074E30" w:rsidRPr="000C1DAC" w:rsidRDefault="00074E30" w:rsidP="00074E30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На основании проведенного молекулярно-генетического анализа был разработан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прогностически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-информативный комплекс для оценки одарённости и перспективности в спортивных единоборствах, представленный в таблице.</w:t>
      </w:r>
    </w:p>
    <w:p w:rsidR="00074E30" w:rsidRPr="000C1DAC" w:rsidRDefault="00074E30" w:rsidP="00074E3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E30" w:rsidRPr="000C1DAC" w:rsidRDefault="00074E30" w:rsidP="00074E3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Таблица – Комплекс генетических полиморфизмов, определяющих уровень </w:t>
      </w:r>
    </w:p>
    <w:p w:rsidR="00074E30" w:rsidRPr="000C1DAC" w:rsidRDefault="00074E30" w:rsidP="00074E3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физической устойчивости в спортивных единоборствах 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417"/>
        <w:gridCol w:w="1418"/>
        <w:gridCol w:w="1275"/>
      </w:tblGrid>
      <w:tr w:rsidR="00074E30" w:rsidRPr="000C1DAC" w:rsidTr="00525A93">
        <w:trPr>
          <w:jc w:val="center"/>
        </w:trPr>
        <w:tc>
          <w:tcPr>
            <w:tcW w:w="5529" w:type="dxa"/>
            <w:vMerge w:val="restart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4110" w:type="dxa"/>
            <w:gridSpan w:val="3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физической устойчивости в спортивных единоборствах</w:t>
            </w:r>
          </w:p>
        </w:tc>
      </w:tr>
      <w:tr w:rsidR="00074E30" w:rsidRPr="000C1DAC" w:rsidTr="00525A93">
        <w:trPr>
          <w:jc w:val="center"/>
        </w:trPr>
        <w:tc>
          <w:tcPr>
            <w:tcW w:w="5529" w:type="dxa"/>
            <w:vMerge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418" w:type="dxa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275" w:type="dxa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</w:tc>
      </w:tr>
      <w:tr w:rsidR="00074E30" w:rsidRPr="000C1DAC" w:rsidTr="00525A93">
        <w:trPr>
          <w:jc w:val="center"/>
        </w:trPr>
        <w:tc>
          <w:tcPr>
            <w:tcW w:w="5529" w:type="dxa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Превалирующий генотип/аллель по гену </w:t>
            </w:r>
            <w:r w:rsidRPr="000C1DA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ACE</w:t>
            </w:r>
          </w:p>
        </w:tc>
        <w:tc>
          <w:tcPr>
            <w:tcW w:w="1417" w:type="dxa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DD/D</w:t>
            </w:r>
          </w:p>
        </w:tc>
        <w:tc>
          <w:tcPr>
            <w:tcW w:w="1418" w:type="dxa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ID/D</w:t>
            </w:r>
          </w:p>
        </w:tc>
        <w:tc>
          <w:tcPr>
            <w:tcW w:w="1275" w:type="dxa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II/I</w:t>
            </w:r>
          </w:p>
        </w:tc>
      </w:tr>
      <w:tr w:rsidR="00074E30" w:rsidRPr="000C1DAC" w:rsidTr="00525A93">
        <w:trPr>
          <w:jc w:val="center"/>
        </w:trPr>
        <w:tc>
          <w:tcPr>
            <w:tcW w:w="5529" w:type="dxa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Превалирующий генотип/аллель по гену </w:t>
            </w:r>
            <w:r w:rsidRPr="000C1DA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AC</w:t>
            </w:r>
            <w:r w:rsidRPr="000C1D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TN</w:t>
            </w:r>
            <w:r w:rsidRPr="000C1DA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CC/C</w:t>
            </w:r>
          </w:p>
        </w:tc>
        <w:tc>
          <w:tcPr>
            <w:tcW w:w="1418" w:type="dxa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CT/C</w:t>
            </w:r>
          </w:p>
        </w:tc>
        <w:tc>
          <w:tcPr>
            <w:tcW w:w="1275" w:type="dxa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TT/T</w:t>
            </w:r>
          </w:p>
        </w:tc>
      </w:tr>
      <w:tr w:rsidR="00074E30" w:rsidRPr="000C1DAC" w:rsidTr="00525A93">
        <w:trPr>
          <w:jc w:val="center"/>
        </w:trPr>
        <w:tc>
          <w:tcPr>
            <w:tcW w:w="5529" w:type="dxa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Превалирующий генотип/аллель по гену </w:t>
            </w:r>
            <w:r w:rsidRPr="000C1D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PPARA</w:t>
            </w:r>
          </w:p>
        </w:tc>
        <w:tc>
          <w:tcPr>
            <w:tcW w:w="1417" w:type="dxa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CC/C</w:t>
            </w:r>
          </w:p>
        </w:tc>
        <w:tc>
          <w:tcPr>
            <w:tcW w:w="1418" w:type="dxa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GC/C, G</w:t>
            </w:r>
          </w:p>
        </w:tc>
        <w:tc>
          <w:tcPr>
            <w:tcW w:w="1275" w:type="dxa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GG/G</w:t>
            </w:r>
          </w:p>
        </w:tc>
      </w:tr>
      <w:tr w:rsidR="00074E30" w:rsidRPr="000C1DAC" w:rsidTr="00525A93">
        <w:trPr>
          <w:jc w:val="center"/>
        </w:trPr>
        <w:tc>
          <w:tcPr>
            <w:tcW w:w="5529" w:type="dxa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Превалирующий генотип/аллель по гену </w:t>
            </w:r>
            <w:r w:rsidRPr="000C1D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PGC</w:t>
            </w:r>
            <w:r w:rsidRPr="000C1DA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  <w:r w:rsidRPr="000C1D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417" w:type="dxa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AA/A</w:t>
            </w:r>
          </w:p>
        </w:tc>
        <w:tc>
          <w:tcPr>
            <w:tcW w:w="1418" w:type="dxa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AG/A</w:t>
            </w:r>
          </w:p>
        </w:tc>
        <w:tc>
          <w:tcPr>
            <w:tcW w:w="1275" w:type="dxa"/>
            <w:vAlign w:val="center"/>
          </w:tcPr>
          <w:p w:rsidR="00074E30" w:rsidRPr="000C1DAC" w:rsidRDefault="00074E30" w:rsidP="00525A93">
            <w:pPr>
              <w:widowControl w:val="0"/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1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GG/G</w:t>
            </w:r>
          </w:p>
        </w:tc>
      </w:tr>
    </w:tbl>
    <w:p w:rsidR="00074E30" w:rsidRPr="000C1DAC" w:rsidRDefault="00074E30" w:rsidP="00074E3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Таким образом, молекулярно-генетическое тестирование рассмотренных полиморфных генетических систем может быть использовано в качестве модели эффективного прогнозирования результатов деятельности в спортивных единоборствах. Полученные результаты расширяют </w:t>
      </w:r>
      <w:r w:rsidRPr="000C1DAC">
        <w:rPr>
          <w:rFonts w:ascii="Times New Roman" w:hAnsi="Times New Roman" w:cs="Times New Roman"/>
          <w:sz w:val="24"/>
          <w:szCs w:val="24"/>
          <w:lang w:val="be-BY"/>
        </w:rPr>
        <w:t>современные представления</w:t>
      </w:r>
      <w:r w:rsidRPr="000C1DAC">
        <w:rPr>
          <w:rFonts w:ascii="Times New Roman" w:hAnsi="Times New Roman" w:cs="Times New Roman"/>
          <w:sz w:val="24"/>
          <w:szCs w:val="24"/>
        </w:rPr>
        <w:t xml:space="preserve"> о вопросах спортивной ориентации и отбора, корректировки и оптимизации тренировочного процесса в спортивных единоборствах.</w:t>
      </w:r>
    </w:p>
    <w:p w:rsidR="00074E30" w:rsidRPr="000C1DAC" w:rsidRDefault="00074E30" w:rsidP="00074E3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Работа выполнена в рамках темы «Исследование полиморфных генетических систем, ассоциированных с успешностью в спортивных единоборствах» по Гранту Министерства образования Республики Беларусь на </w:t>
      </w:r>
      <w:smartTag w:uri="urn:schemas-microsoft-com:office:smarttags" w:element="metricconverter">
        <w:smartTagPr>
          <w:attr w:name="ProductID" w:val="2014 г"/>
        </w:smartTagPr>
        <w:r w:rsidRPr="000C1D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0C1DAC">
        <w:rPr>
          <w:rFonts w:ascii="Times New Roman" w:hAnsi="Times New Roman" w:cs="Times New Roman"/>
          <w:sz w:val="24"/>
          <w:szCs w:val="24"/>
        </w:rPr>
        <w:t>. (ГР №766).</w:t>
      </w:r>
    </w:p>
    <w:p w:rsidR="00074E30" w:rsidRPr="00E051AF" w:rsidRDefault="00074E30" w:rsidP="00074E30">
      <w:pPr>
        <w:widowControl w:val="0"/>
        <w:tabs>
          <w:tab w:val="center" w:pos="3373"/>
          <w:tab w:val="right" w:pos="6463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074E30" w:rsidRPr="000C1DAC" w:rsidRDefault="00074E30" w:rsidP="00074E30">
      <w:pPr>
        <w:widowControl w:val="0"/>
        <w:numPr>
          <w:ilvl w:val="0"/>
          <w:numId w:val="2"/>
        </w:numPr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val="be-BY" w:eastAsia="en-US"/>
        </w:rPr>
        <w:t>Ахметов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0C1DAC"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И.И.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Молекулярная генетика спорта: монография /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И.И.Ахметов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>. – М.: Советский спорт, 2009. – 268 с.</w:t>
      </w:r>
    </w:p>
    <w:p w:rsidR="00074E30" w:rsidRPr="000C1DAC" w:rsidRDefault="00074E30" w:rsidP="00074E3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Ведяков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, А.М. Анализ ряда значимых генетических полиморфизмов у спортсменов /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А.М.Ведяков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А.Г.Тоневицкий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// Физиология человека. – 2006. – Т. 32. – № 2. – С. 92–97.</w:t>
      </w:r>
    </w:p>
    <w:p w:rsidR="00074E30" w:rsidRPr="000C1DAC" w:rsidRDefault="00074E30" w:rsidP="00074E30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Bray, M.S. The human gene map for performance and health-related fitness phenotypes: the 2006-2007 update // Med. Sci. Sports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val="en-US" w:eastAsia="en-US"/>
        </w:rPr>
        <w:t>exerc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val="en-US" w:eastAsia="en-US"/>
        </w:rPr>
        <w:t>. – 2009. – V.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val="en-US" w:eastAsia="en-US"/>
        </w:rPr>
        <w:t>41 (1). – P. 35–73.</w:t>
      </w:r>
    </w:p>
    <w:p w:rsidR="00074E30" w:rsidRPr="000C1DAC" w:rsidRDefault="00074E30" w:rsidP="00074E30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DAC">
        <w:rPr>
          <w:rFonts w:ascii="Times New Roman" w:hAnsi="Times New Roman" w:cs="Times New Roman"/>
          <w:sz w:val="24"/>
          <w:szCs w:val="24"/>
        </w:rPr>
        <w:t>Сивицкая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, Л.Н. Полиморфизм генов ренин-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ангиотензиновой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системы в шести этнографических регионах Беларуси / Л.Н.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Сивицкая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[и др.] // Генетика. – 2008. – Т. 44. – С. 702–709.</w:t>
      </w:r>
    </w:p>
    <w:p w:rsidR="00074E30" w:rsidRPr="000C1DAC" w:rsidRDefault="00074E30" w:rsidP="00074E30">
      <w:pPr>
        <w:widowControl w:val="0"/>
        <w:numPr>
          <w:ilvl w:val="0"/>
          <w:numId w:val="3"/>
        </w:numPr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Дружевская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, А.М. Полиморфизмы генов миогенного фактора 6 и альфа-актинина-3 и их ассоциация со структурой и функцией скелетных мышц человека: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автореф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. … канд. биол. наук: 03.00.15 /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А.М.Дружевская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>. – Санкт-Петербург, 2010. – 27 с.</w:t>
      </w:r>
    </w:p>
    <w:p w:rsidR="00765DEE" w:rsidRPr="00074E30" w:rsidRDefault="00765DEE" w:rsidP="00074E30"/>
    <w:sectPr w:rsidR="00765DEE" w:rsidRPr="00074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12" w:rsidRDefault="002F7312" w:rsidP="00A03BCD">
      <w:pPr>
        <w:spacing w:line="240" w:lineRule="auto"/>
      </w:pPr>
      <w:r>
        <w:separator/>
      </w:r>
    </w:p>
  </w:endnote>
  <w:endnote w:type="continuationSeparator" w:id="0">
    <w:p w:rsidR="002F7312" w:rsidRDefault="002F7312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12" w:rsidRDefault="002F7312" w:rsidP="00A03BCD">
      <w:pPr>
        <w:spacing w:line="240" w:lineRule="auto"/>
      </w:pPr>
      <w:r>
        <w:separator/>
      </w:r>
    </w:p>
  </w:footnote>
  <w:footnote w:type="continuationSeparator" w:id="0">
    <w:p w:rsidR="002F7312" w:rsidRDefault="002F7312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2F731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2F731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2F731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A30D88"/>
    <w:multiLevelType w:val="hybridMultilevel"/>
    <w:tmpl w:val="88D27D20"/>
    <w:lvl w:ilvl="0" w:tplc="D17048E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C835152"/>
    <w:multiLevelType w:val="hybridMultilevel"/>
    <w:tmpl w:val="99D2853C"/>
    <w:lvl w:ilvl="0" w:tplc="483EDAA6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74E30"/>
    <w:rsid w:val="002F7312"/>
    <w:rsid w:val="00765DEE"/>
    <w:rsid w:val="008B6CFF"/>
    <w:rsid w:val="00946D06"/>
    <w:rsid w:val="00A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2</cp:revision>
  <dcterms:created xsi:type="dcterms:W3CDTF">2015-05-23T20:16:00Z</dcterms:created>
  <dcterms:modified xsi:type="dcterms:W3CDTF">2015-05-23T20:16:00Z</dcterms:modified>
</cp:coreProperties>
</file>