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4D" w:rsidRPr="000167C3" w:rsidRDefault="002D3A4D" w:rsidP="00B70B7F">
      <w:pPr>
        <w:spacing w:line="240" w:lineRule="auto"/>
        <w:jc w:val="center"/>
        <w:rPr>
          <w:szCs w:val="28"/>
          <w:lang w:eastAsia="ru-RU"/>
        </w:rPr>
      </w:pPr>
      <w:bookmarkStart w:id="0" w:name="_GoBack"/>
      <w:bookmarkEnd w:id="0"/>
      <w:r w:rsidRPr="000167C3">
        <w:rPr>
          <w:szCs w:val="28"/>
          <w:lang w:eastAsia="ru-RU"/>
        </w:rPr>
        <w:t>П</w:t>
      </w:r>
      <w:r w:rsidR="004D091F">
        <w:rPr>
          <w:szCs w:val="28"/>
          <w:lang w:eastAsia="ru-RU"/>
        </w:rPr>
        <w:t>РОГРАММИРОВАННОЕ</w:t>
      </w:r>
      <w:r w:rsidRPr="000167C3">
        <w:rPr>
          <w:szCs w:val="28"/>
          <w:lang w:eastAsia="ru-RU"/>
        </w:rPr>
        <w:t xml:space="preserve"> </w:t>
      </w:r>
      <w:r w:rsidR="004D091F">
        <w:rPr>
          <w:szCs w:val="28"/>
          <w:lang w:eastAsia="ru-RU"/>
        </w:rPr>
        <w:t>ОБУЧЕНИЕ</w:t>
      </w:r>
      <w:r w:rsidRPr="000167C3">
        <w:rPr>
          <w:szCs w:val="28"/>
          <w:lang w:eastAsia="ru-RU"/>
        </w:rPr>
        <w:t xml:space="preserve"> </w:t>
      </w:r>
      <w:r w:rsidR="004D091F">
        <w:rPr>
          <w:szCs w:val="28"/>
          <w:lang w:eastAsia="ru-RU"/>
        </w:rPr>
        <w:t>ЮНЫХ ВОЛЕЙБОЛИСТОК</w:t>
      </w:r>
      <w:r w:rsidR="004D091F" w:rsidRPr="004D091F">
        <w:rPr>
          <w:szCs w:val="28"/>
          <w:lang w:eastAsia="ru-RU"/>
        </w:rPr>
        <w:t xml:space="preserve"> </w:t>
      </w:r>
      <w:r w:rsidR="004D091F">
        <w:rPr>
          <w:szCs w:val="28"/>
          <w:lang w:eastAsia="ru-RU"/>
        </w:rPr>
        <w:t>АТАКУЮЩИМ ДЕЙСТВИЯМ</w:t>
      </w:r>
    </w:p>
    <w:p w:rsidR="00B70B7F" w:rsidRPr="000167C3" w:rsidRDefault="00B70B7F" w:rsidP="00B70B7F">
      <w:pPr>
        <w:spacing w:line="240" w:lineRule="auto"/>
        <w:jc w:val="center"/>
        <w:rPr>
          <w:szCs w:val="28"/>
          <w:lang w:eastAsia="ru-RU"/>
        </w:rPr>
      </w:pPr>
    </w:p>
    <w:p w:rsidR="002D3A4D" w:rsidRPr="000167C3" w:rsidRDefault="002D3A4D" w:rsidP="00B70B7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position w:val="6"/>
          <w:szCs w:val="28"/>
        </w:rPr>
      </w:pPr>
      <w:r w:rsidRPr="000167C3">
        <w:rPr>
          <w:position w:val="6"/>
          <w:szCs w:val="28"/>
        </w:rPr>
        <w:t>Пимахин</w:t>
      </w:r>
      <w:r w:rsidR="004D091F" w:rsidRPr="004D091F">
        <w:rPr>
          <w:position w:val="6"/>
          <w:szCs w:val="28"/>
        </w:rPr>
        <w:t xml:space="preserve"> </w:t>
      </w:r>
      <w:r w:rsidR="004D091F" w:rsidRPr="000167C3">
        <w:rPr>
          <w:position w:val="6"/>
          <w:szCs w:val="28"/>
        </w:rPr>
        <w:t>Е.А.</w:t>
      </w:r>
      <w:r w:rsidRPr="000167C3">
        <w:rPr>
          <w:position w:val="6"/>
          <w:szCs w:val="28"/>
        </w:rPr>
        <w:t>, Фурманов</w:t>
      </w:r>
      <w:r w:rsidR="004D091F" w:rsidRPr="004D091F">
        <w:rPr>
          <w:position w:val="6"/>
          <w:szCs w:val="28"/>
        </w:rPr>
        <w:t xml:space="preserve"> </w:t>
      </w:r>
      <w:r w:rsidR="004D091F" w:rsidRPr="000167C3">
        <w:rPr>
          <w:position w:val="6"/>
          <w:szCs w:val="28"/>
        </w:rPr>
        <w:t>А.Г.</w:t>
      </w:r>
      <w:r w:rsidR="004D091F" w:rsidRPr="004D091F">
        <w:rPr>
          <w:position w:val="6"/>
          <w:szCs w:val="28"/>
        </w:rPr>
        <w:t xml:space="preserve"> </w:t>
      </w:r>
      <w:r w:rsidR="004D091F" w:rsidRPr="000167C3">
        <w:rPr>
          <w:position w:val="6"/>
          <w:szCs w:val="28"/>
        </w:rPr>
        <w:t>д.п.н., профессор</w:t>
      </w:r>
    </w:p>
    <w:p w:rsidR="002D3A4D" w:rsidRPr="000167C3" w:rsidRDefault="002D3A4D" w:rsidP="00B70B7F">
      <w:pPr>
        <w:spacing w:line="240" w:lineRule="auto"/>
        <w:jc w:val="center"/>
        <w:rPr>
          <w:szCs w:val="28"/>
          <w:lang w:eastAsia="ru-RU"/>
        </w:rPr>
      </w:pPr>
    </w:p>
    <w:p w:rsidR="00B70B7F" w:rsidRPr="000167C3" w:rsidRDefault="00B70B7F" w:rsidP="00B70B7F">
      <w:pPr>
        <w:spacing w:line="240" w:lineRule="auto"/>
        <w:rPr>
          <w:szCs w:val="28"/>
          <w:lang w:eastAsia="ru-RU"/>
        </w:rPr>
      </w:pPr>
      <w:r w:rsidRPr="000167C3">
        <w:rPr>
          <w:szCs w:val="28"/>
          <w:lang w:eastAsia="ru-RU"/>
        </w:rPr>
        <w:t>Эффективность программированного обучения в спорте</w:t>
      </w:r>
      <w:r w:rsidR="004D091F">
        <w:rPr>
          <w:szCs w:val="28"/>
          <w:lang w:eastAsia="ru-RU"/>
        </w:rPr>
        <w:t>,</w:t>
      </w:r>
      <w:r w:rsidRPr="000167C3">
        <w:rPr>
          <w:szCs w:val="28"/>
          <w:lang w:eastAsia="ru-RU"/>
        </w:rPr>
        <w:t xml:space="preserve"> по мнению специалистов </w:t>
      </w:r>
      <w:r w:rsidR="00E13485" w:rsidRPr="000167C3">
        <w:rPr>
          <w:szCs w:val="28"/>
          <w:lang w:eastAsia="ru-RU"/>
        </w:rPr>
        <w:t>[</w:t>
      </w:r>
      <w:r w:rsidR="002B01BC" w:rsidRPr="000167C3">
        <w:rPr>
          <w:szCs w:val="28"/>
          <w:lang w:eastAsia="ru-RU"/>
        </w:rPr>
        <w:t>1, 2, 3,</w:t>
      </w:r>
      <w:r w:rsidR="004D091F">
        <w:rPr>
          <w:szCs w:val="28"/>
          <w:lang w:eastAsia="ru-RU"/>
        </w:rPr>
        <w:t xml:space="preserve"> 5,</w:t>
      </w:r>
      <w:r w:rsidR="002B01BC" w:rsidRPr="000167C3">
        <w:rPr>
          <w:szCs w:val="28"/>
          <w:lang w:eastAsia="ru-RU"/>
        </w:rPr>
        <w:t xml:space="preserve"> 6</w:t>
      </w:r>
      <w:r w:rsidR="00E13485" w:rsidRPr="000167C3">
        <w:rPr>
          <w:szCs w:val="28"/>
          <w:lang w:eastAsia="ru-RU"/>
        </w:rPr>
        <w:t>], заключается в более качественном и ускоренном освоении элементов техники и тактики.</w:t>
      </w:r>
    </w:p>
    <w:p w:rsidR="00E13485" w:rsidRPr="000167C3" w:rsidRDefault="00E13485" w:rsidP="00B70B7F">
      <w:pPr>
        <w:spacing w:line="240" w:lineRule="auto"/>
        <w:rPr>
          <w:szCs w:val="28"/>
          <w:lang w:eastAsia="ru-RU"/>
        </w:rPr>
      </w:pPr>
      <w:r w:rsidRPr="000167C3">
        <w:rPr>
          <w:szCs w:val="28"/>
          <w:lang w:eastAsia="ru-RU"/>
        </w:rPr>
        <w:t xml:space="preserve">Учитывая сложность начального обучения </w:t>
      </w:r>
      <w:r w:rsidR="004D091F">
        <w:rPr>
          <w:szCs w:val="28"/>
          <w:lang w:eastAsia="ru-RU"/>
        </w:rPr>
        <w:t>атаку</w:t>
      </w:r>
      <w:r w:rsidRPr="000167C3">
        <w:rPr>
          <w:szCs w:val="28"/>
          <w:lang w:eastAsia="ru-RU"/>
        </w:rPr>
        <w:t>ющим действиям в волейболе нами были разработаны обучающие программы, в основу которых заложена идея программирования [</w:t>
      </w:r>
      <w:r w:rsidR="002B01BC" w:rsidRPr="000167C3">
        <w:rPr>
          <w:szCs w:val="28"/>
          <w:lang w:eastAsia="ru-RU"/>
        </w:rPr>
        <w:t>5</w:t>
      </w:r>
      <w:r w:rsidRPr="000167C3">
        <w:rPr>
          <w:szCs w:val="28"/>
          <w:lang w:eastAsia="ru-RU"/>
        </w:rPr>
        <w:t xml:space="preserve">]. Она заключается в том, что на начальных стадиях выполнения приема техники на первое место выдвигается вариативность, которая позволяет охватить все разнообразие ситуационной обстановки; на заключительных стадиях возрастает роль </w:t>
      </w:r>
      <w:r w:rsidR="00D44033" w:rsidRPr="000167C3">
        <w:rPr>
          <w:szCs w:val="28"/>
          <w:lang w:eastAsia="ru-RU"/>
        </w:rPr>
        <w:t>стабилизации в плане на высокоавтоматиз</w:t>
      </w:r>
      <w:r w:rsidR="004D091F">
        <w:rPr>
          <w:szCs w:val="28"/>
          <w:lang w:eastAsia="ru-RU"/>
        </w:rPr>
        <w:t>ированную программу движения. В</w:t>
      </w:r>
      <w:r w:rsidR="00F4735F">
        <w:rPr>
          <w:szCs w:val="28"/>
          <w:lang w:eastAsia="ru-RU"/>
        </w:rPr>
        <w:t>следствие</w:t>
      </w:r>
      <w:r w:rsidR="00D44033" w:rsidRPr="000167C3">
        <w:rPr>
          <w:szCs w:val="28"/>
          <w:lang w:eastAsia="ru-RU"/>
        </w:rPr>
        <w:t xml:space="preserve"> поискового, прицельного программирования приемов техники широкая вариативность движений на подготовительных его стадиях создает условия для выхода на заключительную, более стабильную стадию движения, что подтверждается данными исследований, проведенных В.С. Фарфелем [</w:t>
      </w:r>
      <w:r w:rsidR="004D091F">
        <w:rPr>
          <w:szCs w:val="28"/>
          <w:lang w:eastAsia="ru-RU"/>
        </w:rPr>
        <w:t>4</w:t>
      </w:r>
      <w:r w:rsidR="00D44033" w:rsidRPr="000167C3">
        <w:rPr>
          <w:szCs w:val="28"/>
          <w:lang w:eastAsia="ru-RU"/>
        </w:rPr>
        <w:t>].</w:t>
      </w:r>
    </w:p>
    <w:p w:rsidR="00D44033" w:rsidRPr="000167C3" w:rsidRDefault="00D44033" w:rsidP="00B70B7F">
      <w:pPr>
        <w:spacing w:line="240" w:lineRule="auto"/>
        <w:rPr>
          <w:szCs w:val="28"/>
          <w:lang w:eastAsia="ru-RU"/>
        </w:rPr>
      </w:pPr>
    </w:p>
    <w:p w:rsidR="00C77C23" w:rsidRDefault="002D3A4D" w:rsidP="0008263C">
      <w:pPr>
        <w:pStyle w:val="2"/>
      </w:pPr>
      <w:bookmarkStart w:id="1" w:name="_Toc382147194"/>
      <w:r w:rsidRPr="000167C3">
        <w:t>Методика обучения верхней прямой подаче мяча</w:t>
      </w:r>
      <w:bookmarkEnd w:id="1"/>
      <w:r w:rsidR="004D091F">
        <w:t xml:space="preserve"> </w:t>
      </w:r>
      <w:r w:rsidR="00F4735F">
        <w:t xml:space="preserve">в волейболе </w:t>
      </w:r>
      <w:r w:rsidR="004D091F">
        <w:t>изложена в обучающей программе</w:t>
      </w:r>
      <w:r w:rsidR="0008263C">
        <w:t xml:space="preserve">. </w:t>
      </w:r>
      <w:r w:rsidR="00C77C23" w:rsidRPr="000167C3">
        <w:t>Структура методики приведена на рисунке 1.</w:t>
      </w:r>
    </w:p>
    <w:p w:rsidR="0008263C" w:rsidRPr="00F4735F" w:rsidRDefault="0008263C" w:rsidP="0008263C">
      <w:pPr>
        <w:jc w:val="center"/>
        <w:rPr>
          <w:lang w:eastAsia="ru-RU"/>
        </w:rPr>
      </w:pPr>
      <w:r w:rsidRPr="00F4735F">
        <w:rPr>
          <w:lang w:eastAsia="ru-RU"/>
        </w:rPr>
        <w:t>Обучающая программа</w:t>
      </w:r>
    </w:p>
    <w:p w:rsidR="002D3A4D" w:rsidRPr="00F4735F" w:rsidRDefault="00405DF0" w:rsidP="00B70B7F">
      <w:pPr>
        <w:spacing w:line="240" w:lineRule="auto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3pt;margin-top:2.6pt;width:481.55pt;height:213.1pt;z-index:-251652096">
            <v:imagedata r:id="rId8" o:title=""/>
          </v:shape>
          <o:OLEObject Type="Embed" ProgID="Visio.Drawing.11" ShapeID="_x0000_s1028" DrawAspect="Content" ObjectID="_1489051791" r:id="rId9"/>
        </w:pict>
      </w: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9C2D4B" w:rsidRPr="000167C3" w:rsidRDefault="0008263C" w:rsidP="0008263C">
      <w:pPr>
        <w:tabs>
          <w:tab w:val="left" w:pos="4101"/>
        </w:tabs>
        <w:spacing w:line="240" w:lineRule="auto"/>
        <w:rPr>
          <w:lang w:eastAsia="ru-RU"/>
        </w:rPr>
      </w:pPr>
      <w:r>
        <w:rPr>
          <w:lang w:eastAsia="ru-RU"/>
        </w:rPr>
        <w:tab/>
      </w:r>
    </w:p>
    <w:p w:rsidR="009C2D4B" w:rsidRPr="000167C3" w:rsidRDefault="009C2D4B" w:rsidP="00B70B7F">
      <w:pPr>
        <w:spacing w:line="240" w:lineRule="auto"/>
        <w:rPr>
          <w:lang w:eastAsia="ru-RU"/>
        </w:rPr>
      </w:pPr>
    </w:p>
    <w:p w:rsidR="002D3A4D" w:rsidRPr="0008263C" w:rsidRDefault="002D3A4D" w:rsidP="00B70B7F">
      <w:pPr>
        <w:spacing w:line="240" w:lineRule="auto"/>
        <w:jc w:val="center"/>
        <w:rPr>
          <w:sz w:val="24"/>
          <w:szCs w:val="24"/>
        </w:rPr>
      </w:pPr>
      <w:r w:rsidRPr="0008263C">
        <w:rPr>
          <w:sz w:val="24"/>
          <w:szCs w:val="24"/>
        </w:rPr>
        <w:t xml:space="preserve">Рисунок </w:t>
      </w:r>
      <w:r w:rsidR="00D44033" w:rsidRPr="0008263C">
        <w:rPr>
          <w:sz w:val="24"/>
          <w:szCs w:val="24"/>
        </w:rPr>
        <w:t>1</w:t>
      </w:r>
      <w:r w:rsidRPr="0008263C">
        <w:rPr>
          <w:sz w:val="24"/>
          <w:szCs w:val="24"/>
        </w:rPr>
        <w:t xml:space="preserve"> – </w:t>
      </w:r>
      <w:r w:rsidR="00F4735F">
        <w:rPr>
          <w:szCs w:val="28"/>
        </w:rPr>
        <w:t>Структура методики обучения</w:t>
      </w:r>
      <w:r w:rsidRPr="0008263C">
        <w:rPr>
          <w:szCs w:val="28"/>
        </w:rPr>
        <w:t xml:space="preserve"> верхней прямой подаче</w:t>
      </w:r>
    </w:p>
    <w:p w:rsidR="002D3A4D" w:rsidRPr="0008263C" w:rsidRDefault="002D3A4D" w:rsidP="00B70B7F">
      <w:pPr>
        <w:spacing w:line="240" w:lineRule="auto"/>
        <w:rPr>
          <w:lang w:eastAsia="ru-RU"/>
        </w:rPr>
      </w:pPr>
    </w:p>
    <w:p w:rsidR="005C11B1" w:rsidRPr="0008263C" w:rsidRDefault="005C11B1" w:rsidP="005C11B1">
      <w:pPr>
        <w:spacing w:line="240" w:lineRule="auto"/>
        <w:jc w:val="center"/>
        <w:rPr>
          <w:i/>
          <w:lang w:eastAsia="ru-RU"/>
        </w:rPr>
      </w:pPr>
      <w:r w:rsidRPr="0008263C">
        <w:rPr>
          <w:i/>
          <w:lang w:eastAsia="ru-RU"/>
        </w:rPr>
        <w:t>Методика обучения</w:t>
      </w:r>
      <w:r w:rsidR="008309CE" w:rsidRPr="0008263C">
        <w:rPr>
          <w:i/>
          <w:lang w:eastAsia="ru-RU"/>
        </w:rPr>
        <w:t xml:space="preserve"> </w:t>
      </w:r>
      <w:r w:rsidRPr="0008263C">
        <w:rPr>
          <w:i/>
          <w:lang w:eastAsia="ru-RU"/>
        </w:rPr>
        <w:t>включает:</w:t>
      </w:r>
    </w:p>
    <w:p w:rsidR="005C11B1" w:rsidRPr="000167C3" w:rsidRDefault="005C11B1" w:rsidP="005C11B1">
      <w:pPr>
        <w:spacing w:line="240" w:lineRule="auto"/>
        <w:jc w:val="center"/>
        <w:rPr>
          <w:b/>
          <w:i/>
          <w:lang w:eastAsia="ru-RU"/>
        </w:rPr>
      </w:pPr>
    </w:p>
    <w:p w:rsidR="002D3A4D" w:rsidRPr="000167C3" w:rsidRDefault="005C11B1" w:rsidP="00B70B7F">
      <w:pPr>
        <w:spacing w:line="240" w:lineRule="auto"/>
        <w:rPr>
          <w:lang w:eastAsia="ru-RU"/>
        </w:rPr>
      </w:pPr>
      <w:r w:rsidRPr="000167C3">
        <w:rPr>
          <w:lang w:eastAsia="ru-RU"/>
        </w:rPr>
        <w:t>1. Проверку</w:t>
      </w:r>
      <w:r w:rsidR="002D3A4D" w:rsidRPr="000167C3">
        <w:rPr>
          <w:lang w:eastAsia="ru-RU"/>
        </w:rPr>
        <w:t xml:space="preserve"> готовности к обучению</w:t>
      </w:r>
    </w:p>
    <w:p w:rsidR="002D3A4D" w:rsidRPr="000167C3" w:rsidRDefault="002D3A4D" w:rsidP="00B70B7F">
      <w:pPr>
        <w:spacing w:line="240" w:lineRule="auto"/>
        <w:rPr>
          <w:spacing w:val="-10"/>
          <w:lang w:eastAsia="ru-RU"/>
        </w:rPr>
      </w:pPr>
      <w:r w:rsidRPr="000167C3">
        <w:rPr>
          <w:lang w:eastAsia="ru-RU"/>
        </w:rPr>
        <w:t xml:space="preserve">2. </w:t>
      </w:r>
      <w:r w:rsidR="005C11B1" w:rsidRPr="000167C3">
        <w:rPr>
          <w:lang w:eastAsia="ru-RU"/>
        </w:rPr>
        <w:t>У</w:t>
      </w:r>
      <w:r w:rsidRPr="000167C3">
        <w:rPr>
          <w:spacing w:val="-10"/>
          <w:lang w:eastAsia="ru-RU"/>
        </w:rPr>
        <w:t>ме</w:t>
      </w:r>
      <w:r w:rsidR="005C11B1" w:rsidRPr="000167C3">
        <w:rPr>
          <w:spacing w:val="-10"/>
          <w:lang w:eastAsia="ru-RU"/>
        </w:rPr>
        <w:t xml:space="preserve">ние </w:t>
      </w:r>
      <w:r w:rsidR="005C11B1" w:rsidRPr="000167C3">
        <w:rPr>
          <w:lang w:eastAsia="ru-RU"/>
        </w:rPr>
        <w:t>и</w:t>
      </w:r>
      <w:r w:rsidR="005C11B1" w:rsidRPr="000167C3">
        <w:rPr>
          <w:spacing w:val="-10"/>
          <w:lang w:eastAsia="ru-RU"/>
        </w:rPr>
        <w:t>грока применить двигательные умения и навыки</w:t>
      </w:r>
    </w:p>
    <w:p w:rsidR="002D3A4D" w:rsidRPr="000167C3" w:rsidRDefault="005C11B1" w:rsidP="00B70B7F">
      <w:pPr>
        <w:spacing w:line="240" w:lineRule="auto"/>
        <w:rPr>
          <w:lang w:eastAsia="ru-RU"/>
        </w:rPr>
      </w:pPr>
      <w:r w:rsidRPr="000167C3">
        <w:rPr>
          <w:lang w:eastAsia="ru-RU"/>
        </w:rPr>
        <w:t xml:space="preserve">3. </w:t>
      </w:r>
      <w:r w:rsidR="002D3A4D" w:rsidRPr="000167C3">
        <w:rPr>
          <w:lang w:eastAsia="ru-RU"/>
        </w:rPr>
        <w:t>Описание серий учебных заданий</w:t>
      </w:r>
    </w:p>
    <w:p w:rsidR="002D3A4D" w:rsidRPr="000167C3" w:rsidRDefault="0033417F" w:rsidP="00B70B7F">
      <w:pPr>
        <w:spacing w:line="240" w:lineRule="auto"/>
        <w:rPr>
          <w:spacing w:val="-10"/>
          <w:lang w:eastAsia="ru-RU"/>
        </w:rPr>
      </w:pPr>
      <w:r w:rsidRPr="000167C3">
        <w:rPr>
          <w:spacing w:val="-10"/>
          <w:lang w:eastAsia="ru-RU"/>
        </w:rPr>
        <w:t xml:space="preserve">4. </w:t>
      </w:r>
      <w:r w:rsidR="002D3A4D" w:rsidRPr="000167C3">
        <w:rPr>
          <w:spacing w:val="-10"/>
          <w:lang w:eastAsia="ru-RU"/>
        </w:rPr>
        <w:t>Первая серия. Подготовительные упражнения.</w:t>
      </w:r>
    </w:p>
    <w:p w:rsidR="008309CE" w:rsidRPr="000167C3" w:rsidRDefault="0033417F" w:rsidP="0033417F">
      <w:pPr>
        <w:spacing w:line="240" w:lineRule="auto"/>
        <w:rPr>
          <w:spacing w:val="-10"/>
          <w:lang w:eastAsia="ru-RU"/>
        </w:rPr>
      </w:pPr>
      <w:r w:rsidRPr="000167C3">
        <w:rPr>
          <w:spacing w:val="-10"/>
          <w:lang w:eastAsia="ru-RU"/>
        </w:rPr>
        <w:lastRenderedPageBreak/>
        <w:t xml:space="preserve">5. </w:t>
      </w:r>
      <w:r w:rsidR="002D3A4D" w:rsidRPr="000167C3">
        <w:rPr>
          <w:spacing w:val="-10"/>
          <w:lang w:eastAsia="ru-RU"/>
        </w:rPr>
        <w:t xml:space="preserve">Вторая серия. Выполнение подводящих </w:t>
      </w:r>
      <w:r w:rsidR="001A6834">
        <w:rPr>
          <w:spacing w:val="-10"/>
          <w:lang w:eastAsia="ru-RU"/>
        </w:rPr>
        <w:t>упражнений. Здесь дополнительно к ранее разработанной методике</w:t>
      </w:r>
      <w:r w:rsidR="008E4F82">
        <w:rPr>
          <w:spacing w:val="-10"/>
          <w:lang w:eastAsia="ru-RU"/>
        </w:rPr>
        <w:t xml:space="preserve"> [5],</w:t>
      </w:r>
      <w:r w:rsidR="001A6834">
        <w:rPr>
          <w:spacing w:val="-10"/>
          <w:lang w:eastAsia="ru-RU"/>
        </w:rPr>
        <w:t xml:space="preserve"> вводятся упражнения: 1 А – имитация исходного положения перед подачей и 3 В – </w:t>
      </w:r>
      <w:r w:rsidR="008E4F82">
        <w:rPr>
          <w:spacing w:val="-10"/>
          <w:lang w:eastAsia="ru-RU"/>
        </w:rPr>
        <w:t>обучение ударному движению по мячу</w:t>
      </w:r>
      <w:r w:rsidR="00F4735F">
        <w:rPr>
          <w:spacing w:val="-10"/>
          <w:lang w:eastAsia="ru-RU"/>
        </w:rPr>
        <w:t>,</w:t>
      </w:r>
      <w:r w:rsidR="008E4F82">
        <w:rPr>
          <w:spacing w:val="-10"/>
          <w:lang w:eastAsia="ru-RU"/>
        </w:rPr>
        <w:t xml:space="preserve"> закрепленному в тренажере с расстояния 6</w:t>
      </w:r>
      <w:r w:rsidR="00F4735F">
        <w:rPr>
          <w:spacing w:val="-10"/>
          <w:lang w:eastAsia="ru-RU"/>
        </w:rPr>
        <w:t xml:space="preserve"> </w:t>
      </w:r>
      <w:r w:rsidR="008E4F82">
        <w:rPr>
          <w:spacing w:val="-10"/>
          <w:lang w:eastAsia="ru-RU"/>
        </w:rPr>
        <w:t xml:space="preserve">м. от сетки. </w:t>
      </w:r>
    </w:p>
    <w:p w:rsidR="008309CE" w:rsidRPr="000167C3" w:rsidRDefault="0033417F" w:rsidP="0033417F">
      <w:pPr>
        <w:spacing w:line="240" w:lineRule="auto"/>
        <w:rPr>
          <w:spacing w:val="-10"/>
          <w:lang w:eastAsia="ru-RU"/>
        </w:rPr>
      </w:pPr>
      <w:r w:rsidRPr="000167C3">
        <w:rPr>
          <w:spacing w:val="-10"/>
          <w:lang w:eastAsia="ru-RU"/>
        </w:rPr>
        <w:t xml:space="preserve">6. </w:t>
      </w:r>
      <w:r w:rsidR="008309CE" w:rsidRPr="000167C3">
        <w:rPr>
          <w:spacing w:val="-10"/>
          <w:lang w:eastAsia="ru-RU"/>
        </w:rPr>
        <w:t>Третья серия. Специальные упражнения (выполнение подачи мяча в облегченных условиях).</w:t>
      </w:r>
      <w:r w:rsidR="008E4F82" w:rsidRPr="008E4F82">
        <w:rPr>
          <w:spacing w:val="-10"/>
          <w:lang w:eastAsia="ru-RU"/>
        </w:rPr>
        <w:t xml:space="preserve"> </w:t>
      </w:r>
      <w:r w:rsidR="008E4F82">
        <w:rPr>
          <w:spacing w:val="-10"/>
          <w:lang w:eastAsia="ru-RU"/>
        </w:rPr>
        <w:t>Здесь дополнительно к ранее разработанной методике [5], вводятся упражнения: 1 Б – подача мяча через сетку с восьми метров.</w:t>
      </w:r>
    </w:p>
    <w:p w:rsidR="001F1EF6" w:rsidRDefault="0033417F" w:rsidP="001F1EF6">
      <w:pPr>
        <w:spacing w:line="240" w:lineRule="auto"/>
        <w:rPr>
          <w:spacing w:val="-10"/>
          <w:lang w:eastAsia="ru-RU"/>
        </w:rPr>
      </w:pPr>
      <w:r w:rsidRPr="000167C3">
        <w:rPr>
          <w:spacing w:val="-10"/>
          <w:lang w:eastAsia="ru-RU"/>
        </w:rPr>
        <w:t xml:space="preserve">7. </w:t>
      </w:r>
      <w:r w:rsidR="008309CE" w:rsidRPr="000167C3">
        <w:rPr>
          <w:spacing w:val="-10"/>
          <w:lang w:eastAsia="ru-RU"/>
        </w:rPr>
        <w:t>Четвертая серия. Специальные упражнения (подача мяча на точность).</w:t>
      </w:r>
      <w:r w:rsidR="007E3A69" w:rsidRPr="007E3A69">
        <w:rPr>
          <w:spacing w:val="-10"/>
          <w:lang w:eastAsia="ru-RU"/>
        </w:rPr>
        <w:t xml:space="preserve"> </w:t>
      </w:r>
      <w:r w:rsidR="007E3A69">
        <w:rPr>
          <w:spacing w:val="-10"/>
          <w:lang w:eastAsia="ru-RU"/>
        </w:rPr>
        <w:t xml:space="preserve">Здесь </w:t>
      </w:r>
      <w:r w:rsidR="001F1EF6">
        <w:rPr>
          <w:spacing w:val="-10"/>
          <w:lang w:eastAsia="ru-RU"/>
        </w:rPr>
        <w:t>во изменение</w:t>
      </w:r>
      <w:r w:rsidR="007E3A69">
        <w:rPr>
          <w:spacing w:val="-10"/>
          <w:lang w:eastAsia="ru-RU"/>
        </w:rPr>
        <w:t xml:space="preserve"> к ранее разработанной методике [5], вводятся упражнения: 1 Б – подача мяча из-за лицевой линии в левую половину площадки; </w:t>
      </w:r>
      <w:r w:rsidR="001F1EF6">
        <w:rPr>
          <w:spacing w:val="-10"/>
          <w:lang w:eastAsia="ru-RU"/>
        </w:rPr>
        <w:t>2</w:t>
      </w:r>
      <w:r w:rsidR="007E3A69">
        <w:rPr>
          <w:spacing w:val="-10"/>
          <w:lang w:eastAsia="ru-RU"/>
        </w:rPr>
        <w:t xml:space="preserve"> – подача мяча из-за лицевой линии в правую половину площадки</w:t>
      </w:r>
      <w:r w:rsidR="001F1EF6">
        <w:rPr>
          <w:spacing w:val="-10"/>
          <w:lang w:eastAsia="ru-RU"/>
        </w:rPr>
        <w:t>;</w:t>
      </w:r>
      <w:r w:rsidR="001F1EF6" w:rsidRPr="001F1EF6">
        <w:rPr>
          <w:spacing w:val="-10"/>
          <w:lang w:eastAsia="ru-RU"/>
        </w:rPr>
        <w:t xml:space="preserve"> </w:t>
      </w:r>
      <w:r w:rsidR="001F1EF6">
        <w:rPr>
          <w:spacing w:val="-10"/>
          <w:lang w:eastAsia="ru-RU"/>
        </w:rPr>
        <w:t>3 – подача мяча из-за лицевой линии в первую и пятую зоны площадки;</w:t>
      </w:r>
    </w:p>
    <w:p w:rsidR="002D3A4D" w:rsidRDefault="001F1EF6" w:rsidP="00B70B7F">
      <w:pPr>
        <w:spacing w:line="240" w:lineRule="auto"/>
        <w:rPr>
          <w:lang w:eastAsia="ru-RU"/>
        </w:rPr>
      </w:pPr>
      <w:r w:rsidRPr="000167C3">
        <w:t xml:space="preserve">Методика обучения </w:t>
      </w:r>
      <w:r>
        <w:t>прямому нападающему</w:t>
      </w:r>
      <w:r w:rsidRPr="000167C3">
        <w:t xml:space="preserve"> </w:t>
      </w:r>
      <w:r>
        <w:t xml:space="preserve">удару «по ходу разбега». </w:t>
      </w:r>
      <w:r w:rsidR="002D3A4D" w:rsidRPr="000167C3">
        <w:rPr>
          <w:lang w:eastAsia="ru-RU"/>
        </w:rPr>
        <w:t xml:space="preserve">Структура методики приведена на рисунке </w:t>
      </w:r>
      <w:r w:rsidR="0028728E" w:rsidRPr="000167C3">
        <w:rPr>
          <w:lang w:eastAsia="ru-RU"/>
        </w:rPr>
        <w:t>2</w:t>
      </w:r>
      <w:r w:rsidR="002D3A4D" w:rsidRPr="000167C3">
        <w:rPr>
          <w:lang w:eastAsia="ru-RU"/>
        </w:rPr>
        <w:t>.</w:t>
      </w:r>
    </w:p>
    <w:p w:rsidR="00F4735F" w:rsidRDefault="00F4735F" w:rsidP="00F4735F">
      <w:pPr>
        <w:spacing w:line="240" w:lineRule="auto"/>
        <w:jc w:val="center"/>
        <w:rPr>
          <w:lang w:eastAsia="ru-RU"/>
        </w:rPr>
      </w:pPr>
      <w:r>
        <w:rPr>
          <w:lang w:eastAsia="ru-RU"/>
        </w:rPr>
        <w:t>Обучающая программа</w:t>
      </w:r>
    </w:p>
    <w:p w:rsidR="001F1EF6" w:rsidRPr="000167C3" w:rsidRDefault="001F1EF6" w:rsidP="00B70B7F">
      <w:pPr>
        <w:spacing w:line="240" w:lineRule="auto"/>
        <w:rPr>
          <w:lang w:eastAsia="ru-RU"/>
        </w:rPr>
      </w:pPr>
    </w:p>
    <w:p w:rsidR="002D3A4D" w:rsidRPr="000167C3" w:rsidRDefault="00405DF0" w:rsidP="00B70B7F">
      <w:pPr>
        <w:spacing w:line="240" w:lineRule="auto"/>
        <w:rPr>
          <w:lang w:eastAsia="ru-RU"/>
        </w:rPr>
      </w:pPr>
      <w:r>
        <w:rPr>
          <w:noProof/>
          <w:lang w:eastAsia="ru-RU"/>
        </w:rPr>
        <w:pict>
          <v:shape id="_x0000_s1029" type="#_x0000_t75" style="position:absolute;left:0;text-align:left;margin-left:.3pt;margin-top:8.65pt;width:494.1pt;height:142.35pt;z-index:-251651072">
            <v:imagedata r:id="rId10" o:title=""/>
          </v:shape>
          <o:OLEObject Type="Embed" ProgID="Visio.Drawing.11" ShapeID="_x0000_s1029" DrawAspect="Content" ObjectID="_1489051792" r:id="rId11"/>
        </w:pict>
      </w:r>
    </w:p>
    <w:p w:rsidR="00C77C23" w:rsidRPr="000167C3" w:rsidRDefault="00C77C23" w:rsidP="00B70B7F">
      <w:pPr>
        <w:spacing w:line="240" w:lineRule="auto"/>
        <w:rPr>
          <w:lang w:eastAsia="ru-RU"/>
        </w:rPr>
      </w:pPr>
    </w:p>
    <w:p w:rsidR="00C77C23" w:rsidRPr="000167C3" w:rsidRDefault="00C77C23" w:rsidP="00B70B7F">
      <w:pPr>
        <w:spacing w:line="240" w:lineRule="auto"/>
        <w:rPr>
          <w:lang w:eastAsia="ru-RU"/>
        </w:rPr>
      </w:pPr>
    </w:p>
    <w:p w:rsidR="00C77C23" w:rsidRPr="000167C3" w:rsidRDefault="00C77C23" w:rsidP="00B70B7F">
      <w:pPr>
        <w:spacing w:line="240" w:lineRule="auto"/>
        <w:rPr>
          <w:lang w:eastAsia="ru-RU"/>
        </w:rPr>
      </w:pPr>
    </w:p>
    <w:p w:rsidR="00C77C23" w:rsidRPr="000167C3" w:rsidRDefault="00C77C23" w:rsidP="00B70B7F">
      <w:pPr>
        <w:spacing w:line="240" w:lineRule="auto"/>
        <w:rPr>
          <w:lang w:eastAsia="ru-RU"/>
        </w:rPr>
      </w:pPr>
    </w:p>
    <w:p w:rsidR="00C77C23" w:rsidRPr="000167C3" w:rsidRDefault="00C77C23" w:rsidP="00B70B7F">
      <w:pPr>
        <w:spacing w:line="240" w:lineRule="auto"/>
        <w:rPr>
          <w:lang w:eastAsia="ru-RU"/>
        </w:rPr>
      </w:pPr>
    </w:p>
    <w:p w:rsidR="00C77C23" w:rsidRPr="000167C3" w:rsidRDefault="00C77C23" w:rsidP="00B70B7F">
      <w:pPr>
        <w:spacing w:line="240" w:lineRule="auto"/>
        <w:rPr>
          <w:lang w:eastAsia="ru-RU"/>
        </w:rPr>
      </w:pPr>
    </w:p>
    <w:p w:rsidR="00C77C23" w:rsidRPr="000167C3" w:rsidRDefault="00C77C23" w:rsidP="00B70B7F">
      <w:pPr>
        <w:spacing w:line="240" w:lineRule="auto"/>
        <w:rPr>
          <w:lang w:eastAsia="ru-RU"/>
        </w:rPr>
      </w:pPr>
    </w:p>
    <w:p w:rsidR="00C77C23" w:rsidRPr="000167C3" w:rsidRDefault="00C77C23" w:rsidP="00B70B7F">
      <w:pPr>
        <w:spacing w:line="240" w:lineRule="auto"/>
        <w:rPr>
          <w:lang w:eastAsia="ru-RU"/>
        </w:rPr>
      </w:pPr>
    </w:p>
    <w:p w:rsidR="00C77C23" w:rsidRPr="000167C3" w:rsidRDefault="00405DF0" w:rsidP="00B70B7F">
      <w:pPr>
        <w:spacing w:line="240" w:lineRule="auto"/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4pt;margin-top:6.1pt;width:427.85pt;height:3.55pt;z-index:251663360;mso-width-relative:margin;mso-height-relative:margin" stroked="f">
            <v:textbox style="mso-next-textbox:#_x0000_s1027">
              <w:txbxContent>
                <w:p w:rsidR="002D3A4D" w:rsidRPr="00C77C23" w:rsidRDefault="002D3A4D" w:rsidP="00C77C23"/>
              </w:txbxContent>
            </v:textbox>
          </v:shape>
        </w:pict>
      </w:r>
    </w:p>
    <w:p w:rsidR="002D3A4D" w:rsidRPr="001F1EF6" w:rsidRDefault="002D3A4D" w:rsidP="00B70B7F">
      <w:pPr>
        <w:spacing w:line="240" w:lineRule="auto"/>
        <w:rPr>
          <w:szCs w:val="28"/>
        </w:rPr>
      </w:pPr>
      <w:r w:rsidRPr="001F1EF6">
        <w:rPr>
          <w:sz w:val="24"/>
          <w:szCs w:val="24"/>
        </w:rPr>
        <w:t xml:space="preserve">Рисунок </w:t>
      </w:r>
      <w:r w:rsidR="0028728E" w:rsidRPr="001F1EF6">
        <w:rPr>
          <w:sz w:val="24"/>
          <w:szCs w:val="24"/>
        </w:rPr>
        <w:t>2</w:t>
      </w:r>
      <w:r w:rsidRPr="001F1EF6">
        <w:rPr>
          <w:sz w:val="24"/>
          <w:szCs w:val="24"/>
        </w:rPr>
        <w:t xml:space="preserve"> – </w:t>
      </w:r>
      <w:r w:rsidRPr="001F1EF6">
        <w:rPr>
          <w:szCs w:val="28"/>
        </w:rPr>
        <w:t>Структура методики обучения прямому нападающему удару «по ходу разбега»</w:t>
      </w:r>
    </w:p>
    <w:p w:rsidR="007B031A" w:rsidRPr="001F1EF6" w:rsidRDefault="007B031A" w:rsidP="00B70B7F">
      <w:pPr>
        <w:spacing w:line="240" w:lineRule="auto"/>
        <w:rPr>
          <w:lang w:eastAsia="ru-RU"/>
        </w:rPr>
      </w:pPr>
    </w:p>
    <w:p w:rsidR="0028728E" w:rsidRPr="001F1EF6" w:rsidRDefault="0028728E" w:rsidP="0028728E">
      <w:pPr>
        <w:spacing w:line="240" w:lineRule="auto"/>
        <w:jc w:val="center"/>
        <w:rPr>
          <w:i/>
          <w:lang w:eastAsia="ru-RU"/>
        </w:rPr>
      </w:pPr>
      <w:r w:rsidRPr="001F1EF6">
        <w:rPr>
          <w:i/>
          <w:lang w:eastAsia="ru-RU"/>
        </w:rPr>
        <w:t>Методика обучения включает:</w:t>
      </w:r>
    </w:p>
    <w:p w:rsidR="0028728E" w:rsidRPr="001F1EF6" w:rsidRDefault="0028728E" w:rsidP="0028728E">
      <w:pPr>
        <w:spacing w:line="240" w:lineRule="auto"/>
        <w:jc w:val="center"/>
        <w:rPr>
          <w:i/>
          <w:lang w:eastAsia="ru-RU"/>
        </w:rPr>
      </w:pPr>
    </w:p>
    <w:p w:rsidR="0028728E" w:rsidRPr="000167C3" w:rsidRDefault="0028728E" w:rsidP="0028728E">
      <w:pPr>
        <w:spacing w:line="240" w:lineRule="auto"/>
        <w:rPr>
          <w:lang w:eastAsia="ru-RU"/>
        </w:rPr>
      </w:pPr>
      <w:r w:rsidRPr="000167C3">
        <w:rPr>
          <w:lang w:eastAsia="ru-RU"/>
        </w:rPr>
        <w:t>1. Проверку готовности к обучению</w:t>
      </w:r>
    </w:p>
    <w:p w:rsidR="0028728E" w:rsidRPr="000167C3" w:rsidRDefault="0028728E" w:rsidP="0028728E">
      <w:pPr>
        <w:spacing w:line="240" w:lineRule="auto"/>
        <w:rPr>
          <w:spacing w:val="-10"/>
          <w:lang w:eastAsia="ru-RU"/>
        </w:rPr>
      </w:pPr>
      <w:r w:rsidRPr="000167C3">
        <w:rPr>
          <w:lang w:eastAsia="ru-RU"/>
        </w:rPr>
        <w:t>2. У</w:t>
      </w:r>
      <w:r w:rsidRPr="000167C3">
        <w:rPr>
          <w:spacing w:val="-10"/>
          <w:lang w:eastAsia="ru-RU"/>
        </w:rPr>
        <w:t xml:space="preserve">мение </w:t>
      </w:r>
      <w:r w:rsidRPr="000167C3">
        <w:rPr>
          <w:lang w:eastAsia="ru-RU"/>
        </w:rPr>
        <w:t>и</w:t>
      </w:r>
      <w:r w:rsidRPr="000167C3">
        <w:rPr>
          <w:spacing w:val="-10"/>
          <w:lang w:eastAsia="ru-RU"/>
        </w:rPr>
        <w:t>грока применить двигательные умения и навыки</w:t>
      </w:r>
    </w:p>
    <w:p w:rsidR="0028728E" w:rsidRPr="000167C3" w:rsidRDefault="0028728E" w:rsidP="0028728E">
      <w:pPr>
        <w:spacing w:line="240" w:lineRule="auto"/>
        <w:rPr>
          <w:lang w:eastAsia="ru-RU"/>
        </w:rPr>
      </w:pPr>
      <w:r w:rsidRPr="000167C3">
        <w:rPr>
          <w:lang w:eastAsia="ru-RU"/>
        </w:rPr>
        <w:t>3. Описание серий учебных заданий</w:t>
      </w:r>
    </w:p>
    <w:p w:rsidR="0028728E" w:rsidRPr="000167C3" w:rsidRDefault="0028728E" w:rsidP="0028728E">
      <w:pPr>
        <w:spacing w:line="240" w:lineRule="auto"/>
        <w:rPr>
          <w:spacing w:val="-10"/>
          <w:lang w:eastAsia="ru-RU"/>
        </w:rPr>
      </w:pPr>
      <w:r w:rsidRPr="000167C3">
        <w:rPr>
          <w:spacing w:val="-10"/>
          <w:lang w:eastAsia="ru-RU"/>
        </w:rPr>
        <w:t>4. Первая серия. Подготовительные упражнения.</w:t>
      </w:r>
    </w:p>
    <w:p w:rsidR="002D31AD" w:rsidRPr="000167C3" w:rsidRDefault="0028728E" w:rsidP="002D31AD">
      <w:pPr>
        <w:spacing w:line="240" w:lineRule="auto"/>
        <w:rPr>
          <w:spacing w:val="-10"/>
          <w:lang w:eastAsia="ru-RU"/>
        </w:rPr>
      </w:pPr>
      <w:r w:rsidRPr="000167C3">
        <w:rPr>
          <w:spacing w:val="-10"/>
          <w:lang w:eastAsia="ru-RU"/>
        </w:rPr>
        <w:t>5. Вторая серия. Выполнение подводящих упражнений.</w:t>
      </w:r>
      <w:r w:rsidR="002D31AD" w:rsidRPr="002D31AD">
        <w:rPr>
          <w:spacing w:val="-10"/>
          <w:lang w:eastAsia="ru-RU"/>
        </w:rPr>
        <w:t xml:space="preserve"> </w:t>
      </w:r>
      <w:r w:rsidR="002D31AD">
        <w:rPr>
          <w:spacing w:val="-10"/>
          <w:lang w:eastAsia="ru-RU"/>
        </w:rPr>
        <w:t xml:space="preserve">Здесь дополнительно к ранее разработанной методике [5], </w:t>
      </w:r>
      <w:r w:rsidR="00F4735F">
        <w:rPr>
          <w:spacing w:val="-10"/>
          <w:lang w:eastAsia="ru-RU"/>
        </w:rPr>
        <w:t xml:space="preserve">вводятся упражнения: 2 </w:t>
      </w:r>
      <w:r w:rsidR="002D31AD">
        <w:rPr>
          <w:spacing w:val="-10"/>
          <w:lang w:eastAsia="ru-RU"/>
        </w:rPr>
        <w:t>В – обучение нападающему удару через наклонную сетку после подброса мяча вверх двумя руками</w:t>
      </w:r>
      <w:r w:rsidR="00F4735F">
        <w:rPr>
          <w:spacing w:val="-10"/>
          <w:lang w:eastAsia="ru-RU"/>
        </w:rPr>
        <w:t xml:space="preserve"> </w:t>
      </w:r>
      <w:r w:rsidR="001B378B">
        <w:rPr>
          <w:spacing w:val="-10"/>
          <w:lang w:eastAsia="ru-RU"/>
        </w:rPr>
        <w:t>и 5</w:t>
      </w:r>
      <w:r w:rsidR="001B378B" w:rsidRPr="001B378B">
        <w:rPr>
          <w:spacing w:val="-10"/>
          <w:lang w:eastAsia="ru-RU"/>
        </w:rPr>
        <w:t xml:space="preserve"> </w:t>
      </w:r>
      <w:r w:rsidR="001B378B">
        <w:rPr>
          <w:spacing w:val="-10"/>
          <w:lang w:eastAsia="ru-RU"/>
        </w:rPr>
        <w:t>В – имитация нападающего удара у сетки после разбега и прыжка вверх.</w:t>
      </w:r>
    </w:p>
    <w:p w:rsidR="0028728E" w:rsidRPr="000167C3" w:rsidRDefault="001B378B" w:rsidP="0028728E">
      <w:pPr>
        <w:spacing w:line="240" w:lineRule="auto"/>
        <w:rPr>
          <w:spacing w:val="-10"/>
          <w:lang w:eastAsia="ru-RU"/>
        </w:rPr>
      </w:pPr>
      <w:r>
        <w:rPr>
          <w:spacing w:val="-10"/>
          <w:lang w:eastAsia="ru-RU"/>
        </w:rPr>
        <w:t>6</w:t>
      </w:r>
      <w:r w:rsidR="0028728E" w:rsidRPr="000167C3">
        <w:rPr>
          <w:spacing w:val="-10"/>
          <w:lang w:eastAsia="ru-RU"/>
        </w:rPr>
        <w:t xml:space="preserve">. </w:t>
      </w:r>
      <w:r w:rsidR="009C2D4B" w:rsidRPr="000167C3">
        <w:rPr>
          <w:spacing w:val="-10"/>
          <w:lang w:eastAsia="ru-RU"/>
        </w:rPr>
        <w:t>Треть</w:t>
      </w:r>
      <w:r w:rsidR="0028728E" w:rsidRPr="000167C3">
        <w:rPr>
          <w:spacing w:val="-10"/>
          <w:lang w:eastAsia="ru-RU"/>
        </w:rPr>
        <w:t>я серия. Специальные упражнения (</w:t>
      </w:r>
      <w:r w:rsidR="007B031A" w:rsidRPr="000167C3">
        <w:rPr>
          <w:spacing w:val="-10"/>
          <w:lang w:eastAsia="ru-RU"/>
        </w:rPr>
        <w:t>выполнение</w:t>
      </w:r>
      <w:r w:rsidR="009C2D4B" w:rsidRPr="000167C3">
        <w:rPr>
          <w:spacing w:val="-10"/>
          <w:lang w:eastAsia="ru-RU"/>
        </w:rPr>
        <w:t xml:space="preserve"> прямого нападающего удара после передачи мяча</w:t>
      </w:r>
      <w:r w:rsidR="0028728E" w:rsidRPr="000167C3">
        <w:rPr>
          <w:spacing w:val="-10"/>
          <w:lang w:eastAsia="ru-RU"/>
        </w:rPr>
        <w:t>).</w:t>
      </w:r>
    </w:p>
    <w:p w:rsidR="00D9223E" w:rsidRDefault="00053D9D" w:rsidP="00B70B7F">
      <w:pPr>
        <w:spacing w:line="240" w:lineRule="auto"/>
        <w:rPr>
          <w:lang w:eastAsia="ru-RU"/>
        </w:rPr>
      </w:pPr>
      <w:r w:rsidRPr="00053D9D">
        <w:rPr>
          <w:lang w:eastAsia="ru-RU"/>
        </w:rPr>
        <w:t>А</w:t>
      </w:r>
      <w:r w:rsidR="00176AB6">
        <w:rPr>
          <w:lang w:eastAsia="ru-RU"/>
        </w:rPr>
        <w:t>п</w:t>
      </w:r>
      <w:r w:rsidR="001B378B">
        <w:rPr>
          <w:lang w:eastAsia="ru-RU"/>
        </w:rPr>
        <w:t>робация программированного обучения юных волейболисток атакующим действиям показала</w:t>
      </w:r>
      <w:r>
        <w:rPr>
          <w:lang w:eastAsia="ru-RU"/>
        </w:rPr>
        <w:t xml:space="preserve"> преимущество экспериментальной методики по ряду показателей приемов техники (Таблица 1).</w:t>
      </w:r>
    </w:p>
    <w:p w:rsidR="00053D9D" w:rsidRDefault="00053D9D" w:rsidP="00B70B7F">
      <w:pPr>
        <w:spacing w:line="240" w:lineRule="auto"/>
        <w:rPr>
          <w:lang w:eastAsia="ru-RU"/>
        </w:rPr>
      </w:pPr>
    </w:p>
    <w:p w:rsidR="00053D9D" w:rsidRDefault="00053D9D" w:rsidP="00053D9D">
      <w:pPr>
        <w:ind w:firstLine="0"/>
      </w:pPr>
      <w:r w:rsidRPr="00E0785B">
        <w:lastRenderedPageBreak/>
        <w:t xml:space="preserve">Таблица </w:t>
      </w:r>
      <w:r>
        <w:t>1 – Достоверность различий между показателями испытуемых опытных групп на заключительн</w:t>
      </w:r>
      <w:r w:rsidR="00F4735F">
        <w:t>ом</w:t>
      </w:r>
      <w:r>
        <w:t xml:space="preserve"> этап</w:t>
      </w:r>
      <w:r w:rsidR="00F4735F">
        <w:t>е</w:t>
      </w:r>
    </w:p>
    <w:p w:rsidR="00053D9D" w:rsidRDefault="00053D9D" w:rsidP="00053D9D">
      <w:pPr>
        <w:ind w:firstLine="0"/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1238"/>
        <w:gridCol w:w="1101"/>
        <w:gridCol w:w="1517"/>
        <w:gridCol w:w="1238"/>
      </w:tblGrid>
      <w:tr w:rsidR="00053D9D" w:rsidRPr="002C0D77" w:rsidTr="00053D9D">
        <w:trPr>
          <w:trHeight w:val="242"/>
        </w:trPr>
        <w:tc>
          <w:tcPr>
            <w:tcW w:w="2279" w:type="pct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53D9D" w:rsidRDefault="00053D9D" w:rsidP="005F1934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Тесты</w:t>
            </w:r>
          </w:p>
          <w:p w:rsidR="00053D9D" w:rsidRDefault="00053D9D" w:rsidP="005F1934">
            <w:pPr>
              <w:pStyle w:val="a7"/>
              <w:jc w:val="right"/>
              <w:rPr>
                <w:szCs w:val="24"/>
              </w:rPr>
            </w:pPr>
            <w:r w:rsidRPr="0025349C">
              <w:rPr>
                <w:szCs w:val="24"/>
              </w:rPr>
              <w:t xml:space="preserve">Сравниваемые </w:t>
            </w:r>
          </w:p>
          <w:p w:rsidR="00053D9D" w:rsidRPr="0025349C" w:rsidRDefault="00053D9D" w:rsidP="005F1934">
            <w:pPr>
              <w:pStyle w:val="a7"/>
              <w:jc w:val="right"/>
              <w:rPr>
                <w:szCs w:val="24"/>
              </w:rPr>
            </w:pPr>
            <w:r w:rsidRPr="0025349C">
              <w:rPr>
                <w:szCs w:val="24"/>
              </w:rPr>
              <w:t>показатели</w:t>
            </w:r>
          </w:p>
        </w:tc>
        <w:tc>
          <w:tcPr>
            <w:tcW w:w="1249" w:type="pct"/>
            <w:gridSpan w:val="2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Среднее значение</w:t>
            </w:r>
          </w:p>
        </w:tc>
        <w:tc>
          <w:tcPr>
            <w:tcW w:w="810" w:type="pct"/>
            <w:vMerge w:val="restart"/>
          </w:tcPr>
          <w:p w:rsidR="00053D9D" w:rsidRDefault="00053D9D" w:rsidP="005F1934">
            <w:pPr>
              <w:pStyle w:val="a7"/>
              <w:jc w:val="center"/>
              <w:rPr>
                <w:szCs w:val="24"/>
                <w:lang w:val="en-US"/>
              </w:rPr>
            </w:pPr>
          </w:p>
          <w:p w:rsidR="00053D9D" w:rsidRPr="00053D9D" w:rsidRDefault="00053D9D" w:rsidP="005F1934">
            <w:pPr>
              <w:pStyle w:val="a7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</w:t>
            </w:r>
          </w:p>
        </w:tc>
        <w:tc>
          <w:tcPr>
            <w:tcW w:w="661" w:type="pct"/>
            <w:vMerge w:val="restart"/>
          </w:tcPr>
          <w:p w:rsidR="00053D9D" w:rsidRDefault="00053D9D" w:rsidP="005F1934">
            <w:pPr>
              <w:pStyle w:val="a7"/>
              <w:jc w:val="center"/>
              <w:rPr>
                <w:szCs w:val="24"/>
                <w:lang w:val="en-US"/>
              </w:rPr>
            </w:pPr>
          </w:p>
          <w:p w:rsidR="00053D9D" w:rsidRPr="00053D9D" w:rsidRDefault="00053D9D" w:rsidP="005F1934">
            <w:pPr>
              <w:pStyle w:val="a7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</w:p>
        </w:tc>
      </w:tr>
      <w:tr w:rsidR="00053D9D" w:rsidRPr="002C0D77" w:rsidTr="00053D9D">
        <w:trPr>
          <w:trHeight w:val="813"/>
        </w:trPr>
        <w:tc>
          <w:tcPr>
            <w:tcW w:w="2279" w:type="pct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</w:p>
        </w:tc>
        <w:tc>
          <w:tcPr>
            <w:tcW w:w="661" w:type="pct"/>
          </w:tcPr>
          <w:p w:rsidR="00053D9D" w:rsidRDefault="00053D9D" w:rsidP="005F1934">
            <w:pPr>
              <w:pStyle w:val="a7"/>
              <w:jc w:val="center"/>
              <w:rPr>
                <w:szCs w:val="24"/>
                <w:lang w:val="en-US"/>
              </w:rPr>
            </w:pP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КГ</w:t>
            </w:r>
          </w:p>
        </w:tc>
        <w:tc>
          <w:tcPr>
            <w:tcW w:w="588" w:type="pct"/>
          </w:tcPr>
          <w:p w:rsidR="00053D9D" w:rsidRDefault="00053D9D" w:rsidP="005F1934">
            <w:pPr>
              <w:pStyle w:val="a7"/>
              <w:jc w:val="center"/>
              <w:rPr>
                <w:szCs w:val="24"/>
                <w:lang w:val="en-US"/>
              </w:rPr>
            </w:pP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ЭГ</w:t>
            </w:r>
          </w:p>
        </w:tc>
        <w:tc>
          <w:tcPr>
            <w:tcW w:w="810" w:type="pct"/>
            <w:vMerge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</w:p>
        </w:tc>
        <w:tc>
          <w:tcPr>
            <w:tcW w:w="661" w:type="pct"/>
            <w:vMerge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</w:p>
        </w:tc>
      </w:tr>
      <w:tr w:rsidR="00053D9D" w:rsidRPr="002469E2" w:rsidTr="00053D9D">
        <w:trPr>
          <w:trHeight w:val="329"/>
        </w:trPr>
        <w:tc>
          <w:tcPr>
            <w:tcW w:w="2279" w:type="pct"/>
            <w:shd w:val="clear" w:color="auto" w:fill="auto"/>
          </w:tcPr>
          <w:p w:rsidR="00053D9D" w:rsidRPr="002469E2" w:rsidRDefault="00053D9D" w:rsidP="005F1934">
            <w:pPr>
              <w:pStyle w:val="a7"/>
              <w:jc w:val="left"/>
              <w:rPr>
                <w:szCs w:val="24"/>
              </w:rPr>
            </w:pPr>
            <w:r w:rsidRPr="002469E2">
              <w:rPr>
                <w:szCs w:val="24"/>
              </w:rPr>
              <w:t xml:space="preserve">Подача мяча в площадку, кол-во раз </w:t>
            </w:r>
          </w:p>
        </w:tc>
        <w:tc>
          <w:tcPr>
            <w:tcW w:w="661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6,6</w:t>
            </w:r>
          </w:p>
        </w:tc>
        <w:tc>
          <w:tcPr>
            <w:tcW w:w="588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8,4</w:t>
            </w:r>
          </w:p>
        </w:tc>
        <w:tc>
          <w:tcPr>
            <w:tcW w:w="810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3,61</w:t>
            </w:r>
          </w:p>
        </w:tc>
        <w:tc>
          <w:tcPr>
            <w:tcW w:w="661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0,002</w:t>
            </w:r>
          </w:p>
        </w:tc>
      </w:tr>
      <w:tr w:rsidR="00053D9D" w:rsidRPr="002469E2" w:rsidTr="00053D9D">
        <w:trPr>
          <w:trHeight w:val="629"/>
        </w:trPr>
        <w:tc>
          <w:tcPr>
            <w:tcW w:w="2279" w:type="pct"/>
            <w:shd w:val="clear" w:color="auto" w:fill="auto"/>
          </w:tcPr>
          <w:p w:rsidR="00053D9D" w:rsidRPr="002469E2" w:rsidRDefault="00053D9D" w:rsidP="005F1934">
            <w:pPr>
              <w:pStyle w:val="a7"/>
              <w:jc w:val="left"/>
              <w:rPr>
                <w:szCs w:val="24"/>
              </w:rPr>
            </w:pPr>
            <w:r w:rsidRPr="002469E2">
              <w:rPr>
                <w:szCs w:val="24"/>
              </w:rPr>
              <w:t xml:space="preserve">Подача мяча на точность, </w:t>
            </w:r>
            <w:r>
              <w:rPr>
                <w:szCs w:val="24"/>
              </w:rPr>
              <w:t xml:space="preserve">кол-во </w:t>
            </w:r>
            <w:r w:rsidRPr="002469E2">
              <w:rPr>
                <w:szCs w:val="24"/>
              </w:rPr>
              <w:t xml:space="preserve">раз </w:t>
            </w:r>
          </w:p>
          <w:p w:rsidR="00053D9D" w:rsidRPr="002469E2" w:rsidRDefault="00F4735F" w:rsidP="005F1934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176AB6">
              <w:rPr>
                <w:szCs w:val="24"/>
              </w:rPr>
              <w:t xml:space="preserve"> левую половину площадки</w:t>
            </w:r>
          </w:p>
          <w:p w:rsidR="00053D9D" w:rsidRPr="002469E2" w:rsidRDefault="00F4735F" w:rsidP="00176AB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176AB6">
              <w:rPr>
                <w:szCs w:val="24"/>
              </w:rPr>
              <w:t xml:space="preserve"> правую половину площадки</w:t>
            </w:r>
          </w:p>
        </w:tc>
        <w:tc>
          <w:tcPr>
            <w:tcW w:w="661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5,7</w:t>
            </w: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5,4</w:t>
            </w:r>
          </w:p>
        </w:tc>
        <w:tc>
          <w:tcPr>
            <w:tcW w:w="588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7,3</w:t>
            </w: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6,9</w:t>
            </w:r>
          </w:p>
        </w:tc>
        <w:tc>
          <w:tcPr>
            <w:tcW w:w="810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4,25</w:t>
            </w: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3,11</w:t>
            </w:r>
          </w:p>
        </w:tc>
        <w:tc>
          <w:tcPr>
            <w:tcW w:w="661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0,001</w:t>
            </w:r>
          </w:p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0,006</w:t>
            </w:r>
          </w:p>
        </w:tc>
      </w:tr>
      <w:tr w:rsidR="00053D9D" w:rsidRPr="002469E2" w:rsidTr="00053D9D">
        <w:trPr>
          <w:trHeight w:val="310"/>
        </w:trPr>
        <w:tc>
          <w:tcPr>
            <w:tcW w:w="2279" w:type="pct"/>
            <w:shd w:val="clear" w:color="auto" w:fill="auto"/>
          </w:tcPr>
          <w:p w:rsidR="00053D9D" w:rsidRPr="002469E2" w:rsidRDefault="00053D9D" w:rsidP="005F1934">
            <w:pPr>
              <w:pStyle w:val="a7"/>
              <w:jc w:val="left"/>
              <w:rPr>
                <w:szCs w:val="24"/>
              </w:rPr>
            </w:pPr>
            <w:r w:rsidRPr="002469E2">
              <w:rPr>
                <w:szCs w:val="24"/>
              </w:rPr>
              <w:t>Нападающий удар из зоны 4,кол-во раз</w:t>
            </w:r>
          </w:p>
        </w:tc>
        <w:tc>
          <w:tcPr>
            <w:tcW w:w="661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4,4</w:t>
            </w:r>
          </w:p>
        </w:tc>
        <w:tc>
          <w:tcPr>
            <w:tcW w:w="588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6,4</w:t>
            </w:r>
          </w:p>
        </w:tc>
        <w:tc>
          <w:tcPr>
            <w:tcW w:w="810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3,30</w:t>
            </w:r>
          </w:p>
        </w:tc>
        <w:tc>
          <w:tcPr>
            <w:tcW w:w="661" w:type="pct"/>
          </w:tcPr>
          <w:p w:rsidR="00053D9D" w:rsidRPr="002469E2" w:rsidRDefault="00053D9D" w:rsidP="005F1934">
            <w:pPr>
              <w:pStyle w:val="a7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0,004</w:t>
            </w:r>
          </w:p>
        </w:tc>
      </w:tr>
    </w:tbl>
    <w:p w:rsidR="00053D9D" w:rsidRDefault="00053D9D" w:rsidP="00B70B7F">
      <w:pPr>
        <w:spacing w:line="240" w:lineRule="auto"/>
        <w:rPr>
          <w:lang w:eastAsia="ru-RU"/>
        </w:rPr>
      </w:pPr>
    </w:p>
    <w:p w:rsidR="00D9223E" w:rsidRPr="000167C3" w:rsidRDefault="00D9223E" w:rsidP="00D9223E">
      <w:pPr>
        <w:ind w:firstLine="737"/>
      </w:pPr>
      <w:r w:rsidRPr="000167C3">
        <w:t>Литература:</w:t>
      </w:r>
    </w:p>
    <w:p w:rsidR="00D9223E" w:rsidRPr="000167C3" w:rsidRDefault="002B01BC" w:rsidP="004D1770">
      <w:pPr>
        <w:numPr>
          <w:ilvl w:val="0"/>
          <w:numId w:val="13"/>
        </w:numPr>
        <w:spacing w:line="240" w:lineRule="auto"/>
        <w:ind w:left="737" w:firstLine="709"/>
        <w:rPr>
          <w:i/>
        </w:rPr>
      </w:pPr>
      <w:bookmarkStart w:id="2" w:name="_Ref345270104"/>
      <w:r w:rsidRPr="000167C3">
        <w:rPr>
          <w:i/>
        </w:rPr>
        <w:t>Заглада, В.Е.</w:t>
      </w:r>
      <w:r w:rsidRPr="000167C3">
        <w:t xml:space="preserve"> Применение принципов программирования при освоении сложных гимнастических упражнений: автореф. дис. … канд. пед. наук: 13.00.04 / В.Е. Заглада; ГЦОЛИФК. – Москва, 1975. – 34с.</w:t>
      </w:r>
      <w:bookmarkEnd w:id="2"/>
    </w:p>
    <w:p w:rsidR="002B01BC" w:rsidRPr="000167C3" w:rsidRDefault="002B01BC" w:rsidP="004D1770">
      <w:pPr>
        <w:pStyle w:val="a"/>
        <w:spacing w:line="240" w:lineRule="auto"/>
        <w:ind w:left="737" w:firstLine="709"/>
      </w:pPr>
      <w:bookmarkStart w:id="3" w:name="_Ref345271857"/>
      <w:bookmarkStart w:id="4" w:name="_Ref355675650"/>
      <w:r w:rsidRPr="000167C3">
        <w:rPr>
          <w:i/>
        </w:rPr>
        <w:t>Подколзина,</w:t>
      </w:r>
      <w:bookmarkEnd w:id="3"/>
      <w:r w:rsidRPr="000167C3">
        <w:rPr>
          <w:i/>
        </w:rPr>
        <w:t xml:space="preserve"> О.В.</w:t>
      </w:r>
      <w:r w:rsidRPr="000167C3">
        <w:t xml:space="preserve"> Программированное обучение студентов техническим приемам баскетбола с учетом их физической готовности: автореф. дис. …канд. пед. наук 13.00.04 / О.В. Подколзина. – Москва, 2010. – 24 с.</w:t>
      </w:r>
      <w:bookmarkEnd w:id="4"/>
    </w:p>
    <w:p w:rsidR="002B01BC" w:rsidRPr="000167C3" w:rsidRDefault="002B01BC" w:rsidP="004D1770">
      <w:pPr>
        <w:pStyle w:val="a"/>
        <w:spacing w:line="240" w:lineRule="auto"/>
        <w:ind w:left="737" w:firstLine="709"/>
      </w:pPr>
      <w:bookmarkStart w:id="5" w:name="_Ref345270098"/>
      <w:bookmarkStart w:id="6" w:name="_Ref362428654"/>
      <w:bookmarkStart w:id="7" w:name="_Ref345257870"/>
      <w:r w:rsidRPr="000167C3">
        <w:rPr>
          <w:i/>
        </w:rPr>
        <w:t>Укран,М.Л.</w:t>
      </w:r>
      <w:bookmarkEnd w:id="5"/>
      <w:r w:rsidRPr="000167C3">
        <w:t xml:space="preserve"> О технической подготовке гимнастов: / М.Л. Укран // Теория и практика физической культуры № 9, 1965. – С. 59–63</w:t>
      </w:r>
      <w:bookmarkEnd w:id="6"/>
    </w:p>
    <w:p w:rsidR="002B01BC" w:rsidRPr="000167C3" w:rsidRDefault="002B01BC" w:rsidP="004D1770">
      <w:pPr>
        <w:pStyle w:val="a"/>
        <w:spacing w:line="240" w:lineRule="auto"/>
        <w:ind w:left="737" w:firstLine="709"/>
      </w:pPr>
      <w:r w:rsidRPr="000167C3">
        <w:rPr>
          <w:i/>
        </w:rPr>
        <w:t>Фарфель, В.С.</w:t>
      </w:r>
      <w:r w:rsidRPr="000167C3">
        <w:t xml:space="preserve"> Программированные ситуации, используемые в технических средствах изучения и обучения в единоборствах и спортивных играх. Программированное обучение и применение технических средств в спортивной тренировке: / сб. тр. / В.С. Фарфель. – Минск: Полымя, 1965. – С. 135 – 140.</w:t>
      </w:r>
      <w:bookmarkEnd w:id="7"/>
    </w:p>
    <w:p w:rsidR="002B01BC" w:rsidRPr="000167C3" w:rsidRDefault="002B01BC" w:rsidP="004D17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737" w:firstLine="709"/>
        <w:rPr>
          <w:iCs/>
        </w:rPr>
      </w:pPr>
      <w:bookmarkStart w:id="8" w:name="_Ref345257134"/>
      <w:r w:rsidRPr="000167C3">
        <w:rPr>
          <w:i/>
          <w:iCs/>
        </w:rPr>
        <w:t>Фурманов, А.Г.</w:t>
      </w:r>
      <w:r w:rsidRPr="000167C3">
        <w:rPr>
          <w:iCs/>
        </w:rPr>
        <w:t xml:space="preserve"> Подготовка волейболистов / А.Г. Фурманов. – Минск, МЕТ, 2007.- 329 с.</w:t>
      </w:r>
    </w:p>
    <w:p w:rsidR="002B01BC" w:rsidRPr="000167C3" w:rsidRDefault="002B01BC" w:rsidP="004D1770">
      <w:pPr>
        <w:pStyle w:val="a"/>
        <w:spacing w:line="240" w:lineRule="auto"/>
        <w:ind w:left="737" w:firstLine="709"/>
      </w:pPr>
      <w:r w:rsidRPr="000167C3">
        <w:rPr>
          <w:i/>
        </w:rPr>
        <w:t>Шлемин, А.М.</w:t>
      </w:r>
      <w:r w:rsidRPr="000167C3">
        <w:t xml:space="preserve"> Элементы теории программированного обучения движениям и пути исследования этой проблемы /А.М. Шлемин //. Кибернетика и управление движениями в спорте :</w:t>
      </w:r>
      <w:r w:rsidR="00176AB6">
        <w:t xml:space="preserve"> </w:t>
      </w:r>
      <w:r w:rsidRPr="000167C3">
        <w:t>тезисы Всесоюз. науч.конф. М., 1971. – С. 50–53.</w:t>
      </w:r>
      <w:bookmarkEnd w:id="8"/>
    </w:p>
    <w:sectPr w:rsidR="002B01BC" w:rsidRPr="000167C3" w:rsidSect="00890A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F0" w:rsidRDefault="00405DF0" w:rsidP="008215D6">
      <w:pPr>
        <w:spacing w:line="240" w:lineRule="auto"/>
      </w:pPr>
      <w:r>
        <w:separator/>
      </w:r>
    </w:p>
  </w:endnote>
  <w:endnote w:type="continuationSeparator" w:id="0">
    <w:p w:rsidR="00405DF0" w:rsidRDefault="00405DF0" w:rsidP="00821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D6" w:rsidRDefault="008215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D6" w:rsidRDefault="008215D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D6" w:rsidRDefault="008215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F0" w:rsidRDefault="00405DF0" w:rsidP="008215D6">
      <w:pPr>
        <w:spacing w:line="240" w:lineRule="auto"/>
      </w:pPr>
      <w:r>
        <w:separator/>
      </w:r>
    </w:p>
  </w:footnote>
  <w:footnote w:type="continuationSeparator" w:id="0">
    <w:p w:rsidR="00405DF0" w:rsidRDefault="00405DF0" w:rsidP="00821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D6" w:rsidRDefault="008215D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204624" o:spid="_x0000_s2050" type="#_x0000_t136" style="position:absolute;left:0;text-align:left;margin-left:0;margin-top:0;width:586.2pt;height:73.2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D6" w:rsidRDefault="008215D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204625" o:spid="_x0000_s2051" type="#_x0000_t136" style="position:absolute;left:0;text-align:left;margin-left:0;margin-top:0;width:586.2pt;height:73.2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D6" w:rsidRDefault="008215D6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204623" o:spid="_x0000_s2049" type="#_x0000_t136" style="position:absolute;left:0;text-align:left;margin-left:0;margin-top:0;width:586.2pt;height:73.2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E69"/>
    <w:multiLevelType w:val="hybridMultilevel"/>
    <w:tmpl w:val="4CFE32FA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EC3939"/>
    <w:multiLevelType w:val="hybridMultilevel"/>
    <w:tmpl w:val="7CF2ED52"/>
    <w:lvl w:ilvl="0" w:tplc="F580C80C">
      <w:start w:val="1"/>
      <w:numFmt w:val="decimal"/>
      <w:pStyle w:val="a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037F3CBE"/>
    <w:multiLevelType w:val="hybridMultilevel"/>
    <w:tmpl w:val="080AB938"/>
    <w:lvl w:ilvl="0" w:tplc="1C3C9646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E14AF9"/>
    <w:multiLevelType w:val="hybridMultilevel"/>
    <w:tmpl w:val="D6BCACD4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4F4E7A"/>
    <w:multiLevelType w:val="hybridMultilevel"/>
    <w:tmpl w:val="D1B48272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9507D5"/>
    <w:multiLevelType w:val="hybridMultilevel"/>
    <w:tmpl w:val="40569EB2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C92FCC"/>
    <w:multiLevelType w:val="hybridMultilevel"/>
    <w:tmpl w:val="D04A4E16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513E09"/>
    <w:multiLevelType w:val="hybridMultilevel"/>
    <w:tmpl w:val="2580F4D4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EC7F6B"/>
    <w:multiLevelType w:val="hybridMultilevel"/>
    <w:tmpl w:val="0C2A06C8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D4B60"/>
    <w:multiLevelType w:val="hybridMultilevel"/>
    <w:tmpl w:val="E2601C50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96206C"/>
    <w:multiLevelType w:val="hybridMultilevel"/>
    <w:tmpl w:val="F87A074A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58E2B2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4082878"/>
    <w:multiLevelType w:val="hybridMultilevel"/>
    <w:tmpl w:val="84FC2616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F05A14"/>
    <w:multiLevelType w:val="hybridMultilevel"/>
    <w:tmpl w:val="F3BADC8C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FE3371"/>
    <w:multiLevelType w:val="hybridMultilevel"/>
    <w:tmpl w:val="8A94E170"/>
    <w:lvl w:ilvl="0" w:tplc="7A5C942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A4D"/>
    <w:rsid w:val="000167C3"/>
    <w:rsid w:val="00040C5C"/>
    <w:rsid w:val="00053D9D"/>
    <w:rsid w:val="0008263C"/>
    <w:rsid w:val="00176AB6"/>
    <w:rsid w:val="001A6834"/>
    <w:rsid w:val="001B378B"/>
    <w:rsid w:val="001F1EF6"/>
    <w:rsid w:val="0028728E"/>
    <w:rsid w:val="002B01BC"/>
    <w:rsid w:val="002D0CFC"/>
    <w:rsid w:val="002D31AD"/>
    <w:rsid w:val="002D3A4D"/>
    <w:rsid w:val="0033417F"/>
    <w:rsid w:val="00372DCF"/>
    <w:rsid w:val="00384E59"/>
    <w:rsid w:val="00405DF0"/>
    <w:rsid w:val="00413407"/>
    <w:rsid w:val="00491752"/>
    <w:rsid w:val="004D091F"/>
    <w:rsid w:val="004D1770"/>
    <w:rsid w:val="00543164"/>
    <w:rsid w:val="0059253A"/>
    <w:rsid w:val="005C11B1"/>
    <w:rsid w:val="005C276B"/>
    <w:rsid w:val="005F3D6D"/>
    <w:rsid w:val="00607750"/>
    <w:rsid w:val="00686EC0"/>
    <w:rsid w:val="006B43CF"/>
    <w:rsid w:val="007257BD"/>
    <w:rsid w:val="007B031A"/>
    <w:rsid w:val="007E3A69"/>
    <w:rsid w:val="008215D6"/>
    <w:rsid w:val="008309CE"/>
    <w:rsid w:val="00890ADC"/>
    <w:rsid w:val="008E36FC"/>
    <w:rsid w:val="008E4F82"/>
    <w:rsid w:val="009B2142"/>
    <w:rsid w:val="009C2D4B"/>
    <w:rsid w:val="00A74E93"/>
    <w:rsid w:val="00B0251E"/>
    <w:rsid w:val="00B2465D"/>
    <w:rsid w:val="00B70B7F"/>
    <w:rsid w:val="00C77C23"/>
    <w:rsid w:val="00C8758C"/>
    <w:rsid w:val="00D44033"/>
    <w:rsid w:val="00D9223E"/>
    <w:rsid w:val="00DB16F2"/>
    <w:rsid w:val="00DE275C"/>
    <w:rsid w:val="00E13485"/>
    <w:rsid w:val="00E86683"/>
    <w:rsid w:val="00F00D0A"/>
    <w:rsid w:val="00F4735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A4D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Подраздел"/>
    <w:basedOn w:val="a0"/>
    <w:next w:val="a0"/>
    <w:link w:val="20"/>
    <w:autoRedefine/>
    <w:uiPriority w:val="9"/>
    <w:unhideWhenUsed/>
    <w:qFormat/>
    <w:rsid w:val="007B031A"/>
    <w:pPr>
      <w:keepNext/>
      <w:spacing w:line="240" w:lineRule="auto"/>
      <w:jc w:val="left"/>
      <w:outlineLvl w:val="1"/>
    </w:pPr>
    <w:rPr>
      <w:rFonts w:eastAsia="Times New Roman"/>
      <w:bCs/>
      <w:iCs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B01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"/>
    <w:basedOn w:val="a1"/>
    <w:link w:val="2"/>
    <w:uiPriority w:val="9"/>
    <w:rsid w:val="007B031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table" w:styleId="a4">
    <w:name w:val="Table Grid"/>
    <w:basedOn w:val="a2"/>
    <w:rsid w:val="002D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D3A4D"/>
    <w:pPr>
      <w:ind w:left="720"/>
      <w:contextualSpacing/>
    </w:pPr>
  </w:style>
  <w:style w:type="paragraph" w:customStyle="1" w:styleId="Style1">
    <w:name w:val="Style1"/>
    <w:basedOn w:val="a0"/>
    <w:uiPriority w:val="99"/>
    <w:rsid w:val="00B70B7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2">
    <w:name w:val="Font Style12"/>
    <w:uiPriority w:val="99"/>
    <w:rsid w:val="00B70B7F"/>
    <w:rPr>
      <w:rFonts w:ascii="Bookman Old Style" w:hAnsi="Bookman Old Style" w:cs="Bookman Old Style"/>
      <w:sz w:val="16"/>
      <w:szCs w:val="16"/>
    </w:rPr>
  </w:style>
  <w:style w:type="paragraph" w:customStyle="1" w:styleId="a">
    <w:name w:val="Список использованных источников"/>
    <w:basedOn w:val="3"/>
    <w:link w:val="a6"/>
    <w:autoRedefine/>
    <w:qFormat/>
    <w:rsid w:val="002B01BC"/>
    <w:pPr>
      <w:keepNext w:val="0"/>
      <w:keepLines w:val="0"/>
      <w:numPr>
        <w:numId w:val="13"/>
      </w:numPr>
      <w:tabs>
        <w:tab w:val="left" w:pos="1134"/>
      </w:tabs>
      <w:spacing w:before="0"/>
      <w:outlineLvl w:val="9"/>
    </w:pPr>
    <w:rPr>
      <w:rFonts w:ascii="Times New Roman" w:eastAsia="Times New Roman" w:hAnsi="Times New Roman" w:cs="Times New Roman"/>
      <w:b w:val="0"/>
      <w:color w:val="auto"/>
      <w:szCs w:val="26"/>
      <w:lang w:eastAsia="ru-RU"/>
    </w:rPr>
  </w:style>
  <w:style w:type="character" w:customStyle="1" w:styleId="a6">
    <w:name w:val="Список использованных источников Знак"/>
    <w:basedOn w:val="30"/>
    <w:link w:val="a"/>
    <w:rsid w:val="002B01BC"/>
    <w:rPr>
      <w:rFonts w:ascii="Times New Roman" w:eastAsia="Times New Roman" w:hAnsi="Times New Roman" w:cs="Times New Roman"/>
      <w:b/>
      <w:bCs/>
      <w:color w:val="4F81BD" w:themeColor="accent1"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B01B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a7">
    <w:name w:val="Подписи таблиц и рисунков"/>
    <w:basedOn w:val="a0"/>
    <w:link w:val="a8"/>
    <w:qFormat/>
    <w:rsid w:val="00053D9D"/>
    <w:pPr>
      <w:spacing w:line="240" w:lineRule="auto"/>
      <w:ind w:firstLine="0"/>
    </w:pPr>
    <w:rPr>
      <w:rFonts w:eastAsia="Times New Roman"/>
      <w:sz w:val="24"/>
      <w:szCs w:val="28"/>
      <w:lang w:eastAsia="ru-RU"/>
    </w:rPr>
  </w:style>
  <w:style w:type="character" w:customStyle="1" w:styleId="a8">
    <w:name w:val="Подписи таблиц и рисунков Знак"/>
    <w:basedOn w:val="a1"/>
    <w:link w:val="a7"/>
    <w:rsid w:val="00053D9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header"/>
    <w:basedOn w:val="a0"/>
    <w:link w:val="aa"/>
    <w:uiPriority w:val="99"/>
    <w:unhideWhenUsed/>
    <w:rsid w:val="008215D6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215D6"/>
    <w:rPr>
      <w:rFonts w:ascii="Times New Roman" w:eastAsia="Calibri" w:hAnsi="Times New Roman" w:cs="Times New Roman"/>
      <w:sz w:val="28"/>
    </w:rPr>
  </w:style>
  <w:style w:type="paragraph" w:styleId="ab">
    <w:name w:val="footer"/>
    <w:basedOn w:val="a0"/>
    <w:link w:val="ac"/>
    <w:uiPriority w:val="99"/>
    <w:unhideWhenUsed/>
    <w:rsid w:val="008215D6"/>
    <w:pPr>
      <w:tabs>
        <w:tab w:val="center" w:pos="4536"/>
        <w:tab w:val="right" w:pos="9072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215D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ANATOL</cp:lastModifiedBy>
  <cp:revision>4</cp:revision>
  <dcterms:created xsi:type="dcterms:W3CDTF">2014-04-05T19:40:00Z</dcterms:created>
  <dcterms:modified xsi:type="dcterms:W3CDTF">2015-03-28T09:43:00Z</dcterms:modified>
</cp:coreProperties>
</file>