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D2" w:rsidRPr="00C62CBC" w:rsidRDefault="00D56CD2" w:rsidP="00D56CD2">
      <w:pPr>
        <w:pStyle w:val="a5"/>
        <w:spacing w:line="360" w:lineRule="exact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ТЕНДЕНЦИИ И НАПРАВЛЕНИЯ РАЗВИТИЯ ТЕОРИИ ФЕДЕРАТИВНОГО ГОСУДАРСТВА В ГЕРМАНИИ (1920-е ГГ.)  </w:t>
      </w:r>
    </w:p>
    <w:p w:rsidR="00D56CD2" w:rsidRPr="00C62CBC" w:rsidRDefault="00D56CD2" w:rsidP="00D56CD2">
      <w:pPr>
        <w:pStyle w:val="a5"/>
        <w:spacing w:line="360" w:lineRule="exact"/>
        <w:ind w:left="-180" w:right="-187"/>
        <w:rPr>
          <w:sz w:val="26"/>
          <w:szCs w:val="26"/>
        </w:rPr>
      </w:pPr>
    </w:p>
    <w:p w:rsidR="00D56CD2" w:rsidRPr="004534E2" w:rsidRDefault="00D56CD2" w:rsidP="00D56CD2">
      <w:pPr>
        <w:pStyle w:val="a5"/>
        <w:spacing w:line="360" w:lineRule="exact"/>
        <w:ind w:left="-180" w:right="-187"/>
        <w:jc w:val="right"/>
        <w:rPr>
          <w:b w:val="0"/>
          <w:sz w:val="26"/>
          <w:szCs w:val="26"/>
        </w:rPr>
      </w:pPr>
      <w:r w:rsidRPr="004534E2">
        <w:rPr>
          <w:b w:val="0"/>
          <w:sz w:val="26"/>
          <w:szCs w:val="26"/>
        </w:rPr>
        <w:t>О.Г. Субботин</w:t>
      </w:r>
    </w:p>
    <w:p w:rsidR="00D56CD2" w:rsidRDefault="00D56CD2" w:rsidP="00D56CD2">
      <w:pPr>
        <w:spacing w:line="360" w:lineRule="exact"/>
        <w:ind w:left="-180" w:right="-187"/>
        <w:jc w:val="center"/>
        <w:rPr>
          <w:b/>
          <w:sz w:val="26"/>
          <w:szCs w:val="26"/>
        </w:rPr>
      </w:pPr>
    </w:p>
    <w:p w:rsidR="002C75E1" w:rsidRPr="002C75E1" w:rsidRDefault="002C75E1" w:rsidP="00036BE8">
      <w:pPr>
        <w:spacing w:line="360" w:lineRule="exact"/>
        <w:ind w:right="-187" w:firstLine="567"/>
        <w:jc w:val="both"/>
        <w:rPr>
          <w:i/>
          <w:sz w:val="26"/>
          <w:szCs w:val="26"/>
        </w:rPr>
      </w:pPr>
      <w:r w:rsidRPr="002C75E1">
        <w:rPr>
          <w:i/>
          <w:sz w:val="26"/>
          <w:szCs w:val="26"/>
        </w:rPr>
        <w:t xml:space="preserve">Ключевые слова: </w:t>
      </w:r>
      <w:r>
        <w:rPr>
          <w:i/>
          <w:sz w:val="26"/>
          <w:szCs w:val="26"/>
        </w:rPr>
        <w:t xml:space="preserve">федерализм, унитаризм, правовая теория, </w:t>
      </w:r>
      <w:r w:rsidR="00657548">
        <w:rPr>
          <w:i/>
          <w:sz w:val="26"/>
          <w:szCs w:val="26"/>
        </w:rPr>
        <w:t>конституция, суверенитет, централизация, децентрализация, интеграционная теория.</w:t>
      </w:r>
    </w:p>
    <w:p w:rsidR="002C75E1" w:rsidRPr="00C62CBC" w:rsidRDefault="002C75E1" w:rsidP="002C75E1">
      <w:pPr>
        <w:spacing w:line="360" w:lineRule="exact"/>
        <w:ind w:left="567" w:right="-187"/>
        <w:jc w:val="both"/>
        <w:rPr>
          <w:b/>
          <w:sz w:val="26"/>
          <w:szCs w:val="26"/>
        </w:rPr>
      </w:pP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Теория федеративного государства, сформулированная и развитая немецкими юристами в последней трети </w:t>
      </w:r>
      <w:r w:rsidRPr="00C62CBC">
        <w:rPr>
          <w:sz w:val="26"/>
          <w:szCs w:val="26"/>
          <w:lang w:val="de-DE"/>
        </w:rPr>
        <w:t>XIX</w:t>
      </w:r>
      <w:r w:rsidRPr="00C62CBC">
        <w:rPr>
          <w:sz w:val="26"/>
          <w:szCs w:val="26"/>
        </w:rPr>
        <w:t xml:space="preserve"> – начале </w:t>
      </w:r>
      <w:r w:rsidRPr="00C62CBC">
        <w:rPr>
          <w:sz w:val="26"/>
          <w:szCs w:val="26"/>
          <w:lang w:val="de-DE"/>
        </w:rPr>
        <w:t>XX</w:t>
      </w:r>
      <w:r w:rsidR="002C75E1">
        <w:rPr>
          <w:sz w:val="26"/>
          <w:szCs w:val="26"/>
        </w:rPr>
        <w:t xml:space="preserve"> в.</w:t>
      </w:r>
      <w:r w:rsidRPr="00C62CBC">
        <w:rPr>
          <w:sz w:val="26"/>
          <w:szCs w:val="26"/>
        </w:rPr>
        <w:t>, лежала в основе конституционно-правовой дискуссии 20-х гг. о путях и способах преодоления негативных последствий ликвидации Германской империи и модернизации немецкого общества. Тесно связанная с понятиями «суверенитет», «верность союзу» (</w:t>
      </w:r>
      <w:r w:rsidRPr="00C62CBC">
        <w:rPr>
          <w:sz w:val="26"/>
          <w:szCs w:val="26"/>
          <w:lang w:val="de-DE"/>
        </w:rPr>
        <w:t>Bundestreue</w:t>
      </w:r>
      <w:r w:rsidRPr="00C62CBC">
        <w:rPr>
          <w:sz w:val="26"/>
          <w:szCs w:val="26"/>
        </w:rPr>
        <w:t xml:space="preserve">), «чрезвычайной право», «имперская экзекуция», «унитаризм», «децентрализация» и т.д., она была нацелена на поиск качественно новых критериев идентификации федерализма как формы территориально-политического устройства. В конституции 1919 г. не содержалось прямого указания на </w:t>
      </w:r>
      <w:r>
        <w:rPr>
          <w:sz w:val="26"/>
          <w:szCs w:val="26"/>
        </w:rPr>
        <w:t xml:space="preserve">федеративную </w:t>
      </w:r>
      <w:r w:rsidRPr="00C62CBC">
        <w:rPr>
          <w:sz w:val="26"/>
          <w:szCs w:val="26"/>
        </w:rPr>
        <w:t xml:space="preserve">структуру, вследствие чего широкое распространение получили концепции «унитарного союзного государства», «пограничных государств» в проекции на земли, «децентрализованного единого государства» и т. д. Ключевое значение в таких случаях приобретал вопрос о статусе субъектов рейха и объеме принадлежавших им полномочий, от решения которого напрямую зависело будущее немецких территорий и стабильность республики в целом.  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Веймарская конституция (далее – ВК) не зафиксировала системных границ республиканского строя, который при наличии квалифицированного парламентского большинства мог быть преобразован в монархию [1,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41]. Доминирующей в среде немецких юристов являлась точка зрения о союзном характере Германии. Ее придерживались Г. Аншютц, Ф. Штир-Зомло, К. Билфингер, Р. Тома и др., в то время как Л. Виттмайер, Ф. Петцш-Хеффтер, Э. Якоби относили рейх к типу «децентрализованного единого государства, состоящего из высокопотенциальных автономий» [2,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68, 71; 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22; 4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351–358, 372–373, 396–398; 5,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16–17; 6,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131, 134–135;7,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79–83]. При этом Г. Ляйбхольц и Э. Форстхофф отвергали критерий «исконной власти» как признак государственности, а Г. Еллинек призывал судить о германском федерализме не по фиксированным в конституции нормам, а по </w:t>
      </w:r>
      <w:r w:rsidRPr="00C62CBC">
        <w:rPr>
          <w:sz w:val="26"/>
          <w:szCs w:val="26"/>
        </w:rPr>
        <w:lastRenderedPageBreak/>
        <w:t xml:space="preserve">фактическим отношениям в стране [8,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529; 9,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784]. Все это лишний раз доказывало, что «ярко выраженное государственное самосознание не являлось сильной чертой характера немецких граждан, владевших искаженным представлением о содержании государственной идеи и не демонстрировавших глубокой внутренней привязанности к единству», – писал К. Эллезер [10,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17].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>Вопрос о статусе немецких земель решался в среде юристов на основании формального критерия – наличия или отсутствия суверенитета. Его идентификация как атрибута верховной власти и международной правосубъектности соз</w:t>
      </w:r>
      <w:r w:rsidR="00C23067">
        <w:rPr>
          <w:sz w:val="26"/>
          <w:szCs w:val="26"/>
        </w:rPr>
        <w:t>давала не мало преград ученым. Йе</w:t>
      </w:r>
      <w:r w:rsidRPr="00C62CBC">
        <w:rPr>
          <w:sz w:val="26"/>
          <w:szCs w:val="26"/>
        </w:rPr>
        <w:t xml:space="preserve">ллинек трактовал федерацию как недоговорное, «конституционно-правовое объединение государств», в рамках которого центр обладал суверенитетом и верховной властью, а полномочия несуверенных субъектов ограничивались свободными от его притязаний сферами и участием в работе органа союзного  представительства [9,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769, 773–774].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На вооружении у Г. Навиаски было несколько критериев дефиниции «союза». По мнению ученого, он обладал совокупностью компетенций входящих в него членов, а суверенитет был присущ и рейху, и землям [11,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46–47]. Концепции «разделенного суверенитета» придерживался и немецкий правовед Й. Хачек, в то время как К. Шмитт представлял федерацию добровольным, долгосрочным политическим объединением, в рамках которого статус любого из членов мог меняться в угоду интересам нации [12,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67; 13,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366].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Попытки сформулировать общую теорию федеративного государства в Германии окончились провалом. Трудности возникли с определением фундаментальных принципов его построения, а также с решением проблемы «вертикального дуализма» [14,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36–37]. Пётцш-Хеффтер говорил о землях как о самостоятельных субъектах только в знак уважения к их прошлому [7,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80]. Бюлер и Тома не видели смысла в логической дифференциации несуверенных государств и автономий [15,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175; 16,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170]. Для Тома определяющими в процессе идентификации немецкой республики представлялись правовые, политические и социологические аспекты, традиции исторического развития [15,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173–175]. В итоге вопрос о юридической природе немецкой федерации долгое время оставался открытым. ВК не содержала единой терминологии в применении к субъектам. Речь шла и о землях и о государствах, а конкретный институт права рассматривался </w:t>
      </w:r>
      <w:r w:rsidRPr="00C62CBC">
        <w:rPr>
          <w:sz w:val="26"/>
          <w:szCs w:val="26"/>
        </w:rPr>
        <w:lastRenderedPageBreak/>
        <w:t xml:space="preserve">зачастую как находящаяся в потоке истории попытка решения политических задач [17,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76].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«Окончательной легитимации» веймарского федерализма мешало, по мнению Тома, сосуществование исторически сложившихся крупных ландшафтов, обладающих партикуляристским самосознанием, гигантской по размерам Пруссии, одержимой своей «национально-государственной миссией», и неспособных к самостоятельности земель [15,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184–185]. Иных взглядов придерживался Г. Навиаски, сконструировавший юридическую модель союза, основанного на потребности во взаимном дополнении федерации и ее членов. В то время как сфера полномочий Берлина складывалась частично из компетенций его субъектов, последние сохраняли государственный статус, будучи исконными носителями своих прав [18,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25]. «В схеме “федерация – союзное государство”, – писал он, – </w:t>
      </w:r>
      <w:r w:rsidR="00C23067" w:rsidRPr="00C23067">
        <w:rPr>
          <w:sz w:val="26"/>
          <w:szCs w:val="26"/>
        </w:rPr>
        <w:t>[</w:t>
      </w:r>
      <w:r w:rsidRPr="00C62CBC">
        <w:rPr>
          <w:sz w:val="26"/>
          <w:szCs w:val="26"/>
        </w:rPr>
        <w:t>…</w:t>
      </w:r>
      <w:r w:rsidR="00C23067" w:rsidRPr="00C23067">
        <w:rPr>
          <w:sz w:val="26"/>
          <w:szCs w:val="26"/>
        </w:rPr>
        <w:t>]</w:t>
      </w:r>
      <w:r w:rsidRPr="00C62CBC">
        <w:rPr>
          <w:sz w:val="26"/>
          <w:szCs w:val="26"/>
        </w:rPr>
        <w:t xml:space="preserve">речь идет о взаимозависимости и значит не о субординации, а о координации», о распределении власти между центром и регионами, принципиально стоящими на одной ступени и дополняющими друг друга [18,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25, 28–29, 41, 46–48, 115]. 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Для профессора Г. Кельзена правовое учение, основанное на постулате о «независимых отношениях» рейха и земель, было ложным, искажающем действительность [19,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163–164]. Федерация, по мнению ученого, представляла собой специфический случай децентрализации. Согласно выстроенной им юридической схеме, она состояла из трех «правопорядков», или уровней: </w:t>
      </w:r>
      <w:r w:rsidRPr="00C62CBC">
        <w:rPr>
          <w:i/>
          <w:sz w:val="26"/>
          <w:szCs w:val="26"/>
        </w:rPr>
        <w:t>общего</w:t>
      </w:r>
      <w:r w:rsidRPr="00C62CBC">
        <w:rPr>
          <w:sz w:val="26"/>
          <w:szCs w:val="26"/>
        </w:rPr>
        <w:t xml:space="preserve">, </w:t>
      </w:r>
      <w:r w:rsidRPr="00C62CBC">
        <w:rPr>
          <w:i/>
          <w:sz w:val="26"/>
          <w:szCs w:val="26"/>
        </w:rPr>
        <w:t>центрального</w:t>
      </w:r>
      <w:r w:rsidRPr="00C62CBC">
        <w:rPr>
          <w:sz w:val="26"/>
          <w:szCs w:val="26"/>
        </w:rPr>
        <w:t xml:space="preserve"> и </w:t>
      </w:r>
      <w:r w:rsidRPr="00C62CBC">
        <w:rPr>
          <w:i/>
          <w:sz w:val="26"/>
          <w:szCs w:val="26"/>
        </w:rPr>
        <w:t>локальных</w:t>
      </w:r>
      <w:r w:rsidRPr="00C62CBC">
        <w:rPr>
          <w:sz w:val="26"/>
          <w:szCs w:val="26"/>
        </w:rPr>
        <w:t xml:space="preserve">, где рейх и земли не обладали суверенитетом, черпая компетенции из национальной конституции. Такая логика подразумевала триединство федерации, когда союз и его члены как части целого действовали в рамках «общего государства», располагающего собственной конституцией и выступающего субъектом международных отношений [19,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198–200].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>С критикой теории классического федерализма, основанной на догме П</w:t>
      </w:r>
      <w:r w:rsidR="00C23067">
        <w:rPr>
          <w:sz w:val="26"/>
          <w:szCs w:val="26"/>
        </w:rPr>
        <w:t>ауля</w:t>
      </w:r>
      <w:r w:rsidRPr="00C62CBC">
        <w:rPr>
          <w:sz w:val="26"/>
          <w:szCs w:val="26"/>
        </w:rPr>
        <w:t xml:space="preserve">Лабанда о неделимости суверенитета и медиатизации государственных образований, выступил один из наиболее спорных и в то же время ярких немецких правоведов </w:t>
      </w:r>
      <w:r w:rsidRPr="00C62CBC">
        <w:rPr>
          <w:sz w:val="26"/>
          <w:szCs w:val="26"/>
          <w:lang w:val="de-DE"/>
        </w:rPr>
        <w:t>XX</w:t>
      </w:r>
      <w:r w:rsidR="00C23067">
        <w:rPr>
          <w:sz w:val="26"/>
          <w:szCs w:val="26"/>
        </w:rPr>
        <w:t xml:space="preserve"> в.</w:t>
      </w:r>
      <w:r w:rsidRPr="00C62CBC">
        <w:rPr>
          <w:sz w:val="26"/>
          <w:szCs w:val="26"/>
        </w:rPr>
        <w:t xml:space="preserve"> К</w:t>
      </w:r>
      <w:r w:rsidR="00C23067">
        <w:rPr>
          <w:sz w:val="26"/>
          <w:szCs w:val="26"/>
        </w:rPr>
        <w:t>арл</w:t>
      </w:r>
      <w:r w:rsidRPr="00C62CBC">
        <w:rPr>
          <w:sz w:val="26"/>
          <w:szCs w:val="26"/>
        </w:rPr>
        <w:t xml:space="preserve">Шмитт. Он отрицал устоявшиеся системы и предопределенные критерии, апеллируя к конкретным обстоятельствам и материям. Федерацию Шмитт классифицировал как покоящееся на свободном соглашении, долгосрочное объединение, в котором политический статус каждого отдельного члена «подчинен </w:t>
      </w:r>
      <w:r w:rsidRPr="00C62CBC">
        <w:rPr>
          <w:sz w:val="26"/>
          <w:szCs w:val="26"/>
        </w:rPr>
        <w:lastRenderedPageBreak/>
        <w:t xml:space="preserve">общей цели» – укреплению «германского единства» [13,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366]. Сущностной чертой такого строения являлся дуализм, т. е. соединение политического единства в центре и плюрализма на местах [13,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389].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Вопрос о суверенитете Шмитт оставил открытым в силу гомогенности членов союза и их субстанционального равенства. Единство (государственное) в понимании ученого было не догмой, а динамически развивающимся процессом повседневного формирования, обновления, интеграции. Поэтому не юридическое соглашение, а тождественность политико-правовой субстанции и как следствие этого – воля к единству служили гарантом незыблемости федеративного строя [13,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5–6, 371–373]. 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На рейх немецкий ученый смотрел как на гражданское правовое объединение в форме демократической республики с федеративной основой. Последняя, будучи результатом основополагающего политического решения нации, не могла быть упразднена посредством простого конституционного закона, что, впрочем, не гарантировало землям статус-кво, так как вопрос о форме государства в Германии находился в «отсроченном формальном компромиссе» [8,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319–321]. «Такой способ преодоления научно-правового позитивизма плавно переходил социологический позитивизм», когда научная система «заменялась живой волей» [20,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151–152].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>Заметный вклад в теорию федеративных отношений в годы Веймарс</w:t>
      </w:r>
      <w:r w:rsidR="00C23067">
        <w:rPr>
          <w:sz w:val="26"/>
          <w:szCs w:val="26"/>
        </w:rPr>
        <w:t>кой республики внес профессор Рудольф</w:t>
      </w:r>
      <w:r w:rsidRPr="00C62CBC">
        <w:rPr>
          <w:sz w:val="26"/>
          <w:szCs w:val="26"/>
        </w:rPr>
        <w:t xml:space="preserve">Сменд. Господствующему в стране научно-правовому позитивизму и «завуалированному социологическому позитивизму» Шмитта он противопоставил интеграционное учение, пытаясь переосмыслить сущность имперского строения с позиций современной философии жизни [20,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152; 21,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18; 22,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83].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Федеративную теорию юрист пытался вывести за рамки «объективистской механики и теологии», отказавшись от интерпретации «союза» как компромисса двух движущих сил – федеративной и унитарной. Предназначение «союза» Сменд видел в создании условий для их единства и взаимодействия, а федеративной теории – в поиске ответа на вопрос о способе трансформации подобного объединения в полноценную политическую систему [21,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117–118; ]. Следовательно, повседневная жизнь «здоровой федерации» сводилась к интеграции, средством достижения которой выступали ее субъекты [21,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120, 125–126]. Лишь эта цель легитимировала земли, служила позитивным источником их полномочий. 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lastRenderedPageBreak/>
        <w:t xml:space="preserve">Анализируя исторический опыт Германии, Сменд пришел к выводу о разрушительном влиянии на интеграционные процессы в стране ВК, регламентировавшей отношения рейха и земель «в основном с позитивистско-правовых позиций» [21,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136, 223–232]. Конституцию 1919 г. ученый называл отмеченным противоречиями между «нормированными задачами и легитимированными ценностями» «политическим просчетом»,  исправить который считал возможным через укрепление института «верности союзу», известного со времен Германской империи и мутировавшего в годы республиканского правления из законного права земель на незыблемость федеративного строя в обязанность следовать установленным ВК формам организации и поведения власти. И поскольку государство являлось «частью духовного бытия», Сменд отвергал традиционные учения с их умозрительными юридическими конструкциями и «формально-логическими представлениями» [21,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136, 170; 17,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75]. 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Реакция на «интеграционную» теорию, которая до недавнего времени считалась универсальной, допускающей различные формы толкования, предоставляющей «пространство для конфликта» и в то же время способной ограничить его жесткими рамками, была весьма противоречивой [23,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306]. Кельзен назвал ее «апологией диктатуры», а Штир-Зомло «большим заблуждением», ведущим к «философско-романтическую мистицизму», отвергающим юридическую дисциплину и превращающим ее в «политическую лже-юриспруденцию» [17,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86].Сменда критиковали за антидемократизм и крайний консерватизм. Представитель классического позитивизма К. Шмитт классифицировал его учение как «социальное», относящееся к «специальной теории государства» [24,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>. 221]. К</w:t>
      </w:r>
      <w:r w:rsidRPr="00C62CBC">
        <w:rPr>
          <w:sz w:val="26"/>
          <w:szCs w:val="26"/>
          <w:lang w:val="de-DE"/>
        </w:rPr>
        <w:t>e</w:t>
      </w:r>
      <w:r w:rsidRPr="00C62CBC">
        <w:rPr>
          <w:sz w:val="26"/>
          <w:szCs w:val="26"/>
        </w:rPr>
        <w:t xml:space="preserve">лльройтер считал принципиальную защиту федеративного строя с учетом интеграционного потенциала земель и вовсе бессмысленной [25,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26–27]. «В процессе поляризации унитаризма и федерализма, – утверждал ученый, – молодежь перейдет в лагерь унитариев, приведет страну к совершенно иному внутригосударственному делению, отличному от желаний старшего поколения» [25, </w:t>
      </w:r>
      <w:r w:rsidRPr="00C62CBC">
        <w:rPr>
          <w:sz w:val="26"/>
          <w:szCs w:val="26"/>
          <w:lang w:val="en-US"/>
        </w:rPr>
        <w:t>S</w:t>
      </w:r>
      <w:r w:rsidRPr="00C62CBC">
        <w:rPr>
          <w:sz w:val="26"/>
          <w:szCs w:val="26"/>
        </w:rPr>
        <w:t>. 27–28].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В целом необходимо отметить, что господствующее в годы Веймарской республики учение о государстве препятствовало поиску политического консенсуса в немецком обществе. От дореволюционной эпохи оно унаследовало «позитивистско-формалистское» отношение к конституции, выходящее за рамки юридической науки </w:t>
      </w:r>
      <w:r w:rsidRPr="00C62CBC">
        <w:rPr>
          <w:sz w:val="26"/>
          <w:szCs w:val="26"/>
        </w:rPr>
        <w:lastRenderedPageBreak/>
        <w:t xml:space="preserve">[20,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148]. При таком подходе правовое государство подразумевало привязку власти к закону, с которым не были связаны конкретные ожидания содержательного характера. Определяющей оказывалась формально выраженная воля «ответственного органа», что на практике подрывало позиции немецких земель и не позволяло поставить заслон распространению политического экстремизма в начале 1930-х гг. [26,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19; 20,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149]. </w:t>
      </w:r>
    </w:p>
    <w:p w:rsidR="00D56CD2" w:rsidRPr="00C62CBC" w:rsidRDefault="00D56CD2" w:rsidP="004534E2">
      <w:pPr>
        <w:pStyle w:val="a3"/>
        <w:pBdr>
          <w:bottom w:val="none" w:sz="0" w:space="0" w:color="auto"/>
        </w:pBdr>
        <w:spacing w:line="360" w:lineRule="auto"/>
        <w:ind w:left="-180" w:right="-187"/>
        <w:rPr>
          <w:sz w:val="26"/>
          <w:szCs w:val="26"/>
        </w:rPr>
      </w:pPr>
      <w:r w:rsidRPr="00C62CBC">
        <w:rPr>
          <w:sz w:val="26"/>
          <w:szCs w:val="26"/>
        </w:rPr>
        <w:t xml:space="preserve">«Основные течения конституционно-правовой дискуссии в Германии, включая традиционные позитивистские, фокусировались на государстве как носителе суверенитета, а не плюрализации общества» [23, </w:t>
      </w:r>
      <w:r w:rsidRPr="00C62CBC">
        <w:rPr>
          <w:sz w:val="26"/>
          <w:szCs w:val="26"/>
          <w:lang w:val="de-DE"/>
        </w:rPr>
        <w:t>S</w:t>
      </w:r>
      <w:r w:rsidRPr="00C62CBC">
        <w:rPr>
          <w:sz w:val="26"/>
          <w:szCs w:val="26"/>
        </w:rPr>
        <w:t xml:space="preserve">. 309–310]. Не удивительно, что представления о союзной форме правления в среде немецких юристов соответствовали доминирующей со времен Бисмарка теории, согласно которой рейх являлся правовым объединением субъектов, основанным на принципе разделения полномочий. Лишь он обладал суверенитетом, тогда как земли участвовали в формировании государственной воли. </w:t>
      </w:r>
    </w:p>
    <w:p w:rsidR="00D56CD2" w:rsidRPr="00C62CBC" w:rsidRDefault="00D56CD2" w:rsidP="00D56CD2">
      <w:pPr>
        <w:pStyle w:val="a3"/>
        <w:pBdr>
          <w:bottom w:val="none" w:sz="0" w:space="0" w:color="auto"/>
        </w:pBdr>
        <w:spacing w:line="360" w:lineRule="exact"/>
        <w:ind w:left="-180" w:right="-187"/>
        <w:jc w:val="center"/>
        <w:rPr>
          <w:sz w:val="26"/>
          <w:szCs w:val="26"/>
        </w:rPr>
      </w:pPr>
    </w:p>
    <w:p w:rsidR="00D56CD2" w:rsidRPr="00C62CBC" w:rsidRDefault="00D56CD2" w:rsidP="00D56CD2">
      <w:pPr>
        <w:pStyle w:val="a3"/>
        <w:pBdr>
          <w:bottom w:val="none" w:sz="0" w:space="0" w:color="auto"/>
        </w:pBdr>
        <w:spacing w:line="360" w:lineRule="exact"/>
        <w:ind w:left="-180" w:right="-187"/>
        <w:jc w:val="center"/>
        <w:rPr>
          <w:i/>
          <w:sz w:val="26"/>
          <w:szCs w:val="26"/>
        </w:rPr>
      </w:pPr>
      <w:r w:rsidRPr="00C23067">
        <w:rPr>
          <w:sz w:val="26"/>
          <w:szCs w:val="26"/>
        </w:rPr>
        <w:t>Литература</w:t>
      </w:r>
    </w:p>
    <w:p w:rsidR="00D56CD2" w:rsidRPr="00C62CBC" w:rsidRDefault="00D56CD2" w:rsidP="00D56CD2">
      <w:pPr>
        <w:pStyle w:val="a3"/>
        <w:pBdr>
          <w:bottom w:val="none" w:sz="0" w:space="0" w:color="auto"/>
        </w:pBdr>
        <w:spacing w:line="360" w:lineRule="exact"/>
        <w:ind w:left="-180" w:right="-187"/>
        <w:rPr>
          <w:sz w:val="26"/>
          <w:szCs w:val="26"/>
          <w:lang w:val="de-DE"/>
        </w:rPr>
      </w:pP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Boldt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H. Die Stellung von Parlament und Parteien in der Weimarer Reichsverfassung. Verfassungstheorie und Verfassungswirklichkeit // Demokratie in der Krise. Parteien im Verfassungssystem der Weimarer Republik; hrsg. von E. Kolb und W</w:t>
      </w:r>
      <w:r w:rsidR="00C23067">
        <w:rPr>
          <w:sz w:val="26"/>
          <w:szCs w:val="26"/>
          <w:lang w:val="de-DE"/>
        </w:rPr>
        <w:t xml:space="preserve">. Mühlhausen. – München, 1997. </w:t>
      </w:r>
      <w:r w:rsidRPr="00C62CBC">
        <w:rPr>
          <w:sz w:val="26"/>
          <w:szCs w:val="26"/>
          <w:lang w:val="de-DE"/>
        </w:rPr>
        <w:t>– S. 19–58.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Anschütz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G. Die Verfassung des Deutschen Reichs vom 11. August 1919. </w:t>
      </w:r>
      <w:r w:rsidRPr="00C62CBC">
        <w:rPr>
          <w:i/>
          <w:sz w:val="26"/>
          <w:szCs w:val="26"/>
          <w:lang w:val="de-DE"/>
        </w:rPr>
        <w:t>Ein Kommentar für Wissenschaft und Praxis</w:t>
      </w:r>
      <w:r w:rsidRPr="00C62CBC">
        <w:rPr>
          <w:sz w:val="26"/>
          <w:szCs w:val="26"/>
          <w:lang w:val="de-DE"/>
        </w:rPr>
        <w:t xml:space="preserve">. – 13. Aufl. – Berlin, 1930. – 678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 xml:space="preserve">Die Preußische Verfassung vom 30. November 1920. Kommentar für Studium und Praxis; bearb. von F. Giese und E. Volkmann. – 2., neub. Aufl. – Berlin, 1926. – 305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Stier-Somlo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F. Deutsches Reichs- und Landesstaatsrecht. – Bd. I. – Berlin/Leipzig, 1924. – 726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Jacobi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E. Einheitsstaat oder Bundesstaat. – Leipzig, 1919. – 39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Wittmayer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L. Die Weimarer Reichsverfassung. – Tübingen, 1922. – 479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Poetzsch-Heffter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F. Handkommentar der Reichsverfassung vom 11. August 1919. – 3., völlig neubearb. und stark verm. Aufl. – Berlin, 1928. – 518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Holste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H. Der deutsche Bundesstaat im Wandel (1867–1933). Berlin, 2002. – 580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Jellinek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G. Allegemeine Staatslehre. – 3. durchges. und erg. Aufl. – Berlin, 1921. – 837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 xml:space="preserve">Elleser K. Die Verfassungsautonomie der deutschen Länder und ihre reichsrechtlichen Beschränkungen: Univ., Diss. – Heidelberg, 1928. – 47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Nawiasky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H. Der Bundesstaat als Rechtsbegriff. – Tübingen, 1920. – 254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Hatschek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J. Das Reichsstaatsrecht. – Berlin, 1923. – 499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Schmitt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C. Verfassungslehre. – München [u.a.], 1928. – 404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Vetter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J. Die Bundesstaatlichkeit in der Rechtsprechung des Staatsgerichtshofs der </w:t>
      </w:r>
      <w:r w:rsidRPr="00C62CBC">
        <w:rPr>
          <w:sz w:val="26"/>
          <w:szCs w:val="26"/>
          <w:lang w:val="de-DE"/>
        </w:rPr>
        <w:lastRenderedPageBreak/>
        <w:t xml:space="preserve">Weimarer Republik. – Baden-Baden, 1979. – 181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Handbuch des Deutschen Staatsrechts: in 2 Bd; hrsg. von G. Anschütz u R. Thoma. – Tübingen, 1930. – Bd. 1. – 708 S.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Bühler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O. Die Reichverfassung vom 11 August 1919. – 3. Aufl. – Leipzig [u.a.], 1929. – 190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Oeter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S. Integration und Subsidiarität im deutschen Bundesstaatsrecht. Untersuchungen zur Bundesstaatstheorie unter dem Grundgesetz. – Tübingen, 1998. – 655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Nawiasky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H. Der Bundesstaat als Rechtsbegriff. – Tübingen, 1920. – 115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Kelsen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H. Allgemeine Staatslehre. – Belin, 1925. – 433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Robbers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G. Die Begründung des Rechts in der Weimarer Republik // Widerstand und Verteidigung des Rechts; hrsg. von G. Ringshausen und R. von Voss. – Bonn, 1997. – S. 147–157.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Smend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R. Verfassung und Verfassungsrecht. – München [u.a.], 1928. – 178 S. 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Smend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R. Die politische Gewalt im Verfassungsstaat und das Problem der Staatsform // Staatsrechtliche Abhandlungen und andere Aufsätze. – Berlin, 1955. – S. 68–88.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Ladeur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K.-H. Postmoderne Verfassungstheorie // Zum Begriff der Verfassung.; hrsg. von U.K. Preuß. – Frankfurt am Main, 1994. – S. 304–331.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Schmitt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C. Der Hüter der Verfassung / C. Schmitt. – AöR. – 16 (1929). – S. 161–237.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Koellreutter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O. Integrationslehre und Reichsreform. – Tübingen, 1929. – 28 S. </w:t>
      </w:r>
    </w:p>
    <w:p w:rsidR="00D56CD2" w:rsidRPr="00C62CBC" w:rsidRDefault="00D56CD2" w:rsidP="00D56CD2">
      <w:pPr>
        <w:pStyle w:val="a3"/>
        <w:numPr>
          <w:ilvl w:val="0"/>
          <w:numId w:val="1"/>
        </w:numPr>
        <w:pBdr>
          <w:bottom w:val="none" w:sz="0" w:space="0" w:color="auto"/>
        </w:pBdr>
        <w:tabs>
          <w:tab w:val="clear" w:pos="1260"/>
          <w:tab w:val="num" w:pos="540"/>
        </w:tabs>
        <w:ind w:left="540" w:right="-187" w:hanging="540"/>
        <w:rPr>
          <w:sz w:val="26"/>
          <w:szCs w:val="26"/>
          <w:lang w:val="de-DE"/>
        </w:rPr>
      </w:pPr>
      <w:r w:rsidRPr="00C62CBC">
        <w:rPr>
          <w:sz w:val="26"/>
          <w:szCs w:val="26"/>
          <w:lang w:val="de-DE"/>
        </w:rPr>
        <w:t>Grimm</w:t>
      </w:r>
      <w:r w:rsidR="00C23067">
        <w:rPr>
          <w:sz w:val="26"/>
          <w:szCs w:val="26"/>
          <w:lang w:val="de-DE"/>
        </w:rPr>
        <w:t>,</w:t>
      </w:r>
      <w:r w:rsidRPr="00C62CBC">
        <w:rPr>
          <w:sz w:val="26"/>
          <w:szCs w:val="26"/>
          <w:lang w:val="de-DE"/>
        </w:rPr>
        <w:t xml:space="preserve"> D. Die Bedeutung der Weimarer Verfassung in der deutschen Verfassungsgeschichte. – Heidelberg, 1990. – 36 S. </w:t>
      </w:r>
    </w:p>
    <w:p w:rsidR="00D56CD2" w:rsidRPr="00C62CBC" w:rsidRDefault="00D56CD2" w:rsidP="00D56CD2">
      <w:pPr>
        <w:pStyle w:val="a3"/>
        <w:pBdr>
          <w:bottom w:val="none" w:sz="0" w:space="0" w:color="auto"/>
        </w:pBdr>
        <w:ind w:left="900" w:right="-187" w:firstLine="0"/>
        <w:rPr>
          <w:sz w:val="26"/>
          <w:szCs w:val="26"/>
          <w:lang w:val="de-DE"/>
        </w:rPr>
      </w:pPr>
    </w:p>
    <w:p w:rsidR="00D56CD2" w:rsidRPr="00C62CBC" w:rsidRDefault="00D56CD2" w:rsidP="00D56CD2">
      <w:pPr>
        <w:jc w:val="both"/>
        <w:rPr>
          <w:sz w:val="26"/>
          <w:szCs w:val="26"/>
          <w:lang w:val="de-DE"/>
        </w:rPr>
      </w:pPr>
    </w:p>
    <w:p w:rsidR="0043403A" w:rsidRDefault="0043403A">
      <w:pPr>
        <w:rPr>
          <w:lang w:val="de-DE"/>
        </w:rPr>
      </w:pPr>
    </w:p>
    <w:p w:rsidR="00003450" w:rsidRPr="0078003C" w:rsidRDefault="00003450" w:rsidP="00003450">
      <w:pPr>
        <w:jc w:val="both"/>
        <w:rPr>
          <w:b/>
          <w:sz w:val="24"/>
          <w:szCs w:val="24"/>
        </w:rPr>
      </w:pPr>
      <w:r w:rsidRPr="0078003C">
        <w:rPr>
          <w:b/>
          <w:sz w:val="24"/>
          <w:szCs w:val="24"/>
        </w:rPr>
        <w:t xml:space="preserve">Источник: </w:t>
      </w:r>
      <w:r w:rsidRPr="0078003C">
        <w:rPr>
          <w:b/>
          <w:sz w:val="24"/>
          <w:szCs w:val="24"/>
          <w:lang w:val="be-BY"/>
        </w:rPr>
        <w:t xml:space="preserve">Субботин, О.Г. </w:t>
      </w:r>
      <w:r w:rsidRPr="0078003C">
        <w:rPr>
          <w:b/>
          <w:sz w:val="24"/>
          <w:szCs w:val="24"/>
        </w:rPr>
        <w:t xml:space="preserve">Тенденции и направления развития теории федеративного государства в Германии (1920-е гг.) </w:t>
      </w:r>
      <w:r w:rsidRPr="0078003C">
        <w:rPr>
          <w:b/>
          <w:sz w:val="24"/>
          <w:szCs w:val="24"/>
          <w:lang w:val="be-BY"/>
        </w:rPr>
        <w:t>/ О.Г. Субботин</w:t>
      </w:r>
      <w:r w:rsidRPr="0078003C">
        <w:rPr>
          <w:b/>
          <w:sz w:val="24"/>
          <w:szCs w:val="24"/>
        </w:rPr>
        <w:t xml:space="preserve"> // Актуальные проблемы в изучении и преподавании общественно-гуманитарных наук (дисциплин) : материалы </w:t>
      </w:r>
      <w:r w:rsidRPr="0078003C">
        <w:rPr>
          <w:b/>
          <w:sz w:val="24"/>
          <w:szCs w:val="24"/>
          <w:lang w:val="de-DE"/>
        </w:rPr>
        <w:t>II</w:t>
      </w:r>
      <w:r w:rsidRPr="0078003C">
        <w:rPr>
          <w:b/>
          <w:sz w:val="24"/>
          <w:szCs w:val="24"/>
        </w:rPr>
        <w:t xml:space="preserve"> (Второй) Междунар. науч. конф., Витебск, 1–2 декабря 2011 г. – Витебск : ВФ УО ФПБ «Международный универс</w:t>
      </w:r>
      <w:bookmarkStart w:id="0" w:name="_GoBack"/>
      <w:bookmarkEnd w:id="0"/>
      <w:r w:rsidRPr="0078003C">
        <w:rPr>
          <w:b/>
          <w:sz w:val="24"/>
          <w:szCs w:val="24"/>
        </w:rPr>
        <w:t>итет «МИТСО», 2011. – С. 417–420.</w:t>
      </w:r>
    </w:p>
    <w:sectPr w:rsidR="00003450" w:rsidRPr="0078003C" w:rsidSect="00AB6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BC" w:rsidRDefault="004B72BC">
      <w:r>
        <w:separator/>
      </w:r>
    </w:p>
  </w:endnote>
  <w:endnote w:type="continuationSeparator" w:id="1">
    <w:p w:rsidR="004B72BC" w:rsidRDefault="004B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EC" w:rsidRDefault="00443FD1" w:rsidP="00AB6DE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75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38EC" w:rsidRDefault="004B72BC" w:rsidP="00AB6D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EC" w:rsidRDefault="00443FD1" w:rsidP="00AB6DE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75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D93">
      <w:rPr>
        <w:rStyle w:val="a7"/>
        <w:noProof/>
      </w:rPr>
      <w:t>7</w:t>
    </w:r>
    <w:r>
      <w:rPr>
        <w:rStyle w:val="a7"/>
      </w:rPr>
      <w:fldChar w:fldCharType="end"/>
    </w:r>
  </w:p>
  <w:p w:rsidR="009438EC" w:rsidRDefault="004B72BC" w:rsidP="00AB6DE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3" w:rsidRDefault="004B0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BC" w:rsidRDefault="004B72BC">
      <w:r>
        <w:separator/>
      </w:r>
    </w:p>
  </w:footnote>
  <w:footnote w:type="continuationSeparator" w:id="1">
    <w:p w:rsidR="004B72BC" w:rsidRDefault="004B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3" w:rsidRDefault="004B0D9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76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3" w:rsidRDefault="004B0D9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76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3" w:rsidRDefault="004B0D9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76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60A"/>
    <w:multiLevelType w:val="hybridMultilevel"/>
    <w:tmpl w:val="F76EC0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56CD2"/>
    <w:rsid w:val="00003450"/>
    <w:rsid w:val="00036BE8"/>
    <w:rsid w:val="002C75E1"/>
    <w:rsid w:val="0043403A"/>
    <w:rsid w:val="00443FD1"/>
    <w:rsid w:val="004534E2"/>
    <w:rsid w:val="004B0D93"/>
    <w:rsid w:val="004B72BC"/>
    <w:rsid w:val="00657548"/>
    <w:rsid w:val="0078003C"/>
    <w:rsid w:val="00BF067A"/>
    <w:rsid w:val="00C23067"/>
    <w:rsid w:val="00D56CD2"/>
    <w:rsid w:val="00FE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CD2"/>
    <w:pPr>
      <w:widowControl w:val="0"/>
      <w:pBdr>
        <w:bottom w:val="single" w:sz="6" w:space="20" w:color="auto"/>
      </w:pBdr>
      <w:ind w:right="-1283"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56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56CD2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56C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D56CD2"/>
  </w:style>
  <w:style w:type="paragraph" w:styleId="a8">
    <w:name w:val="footer"/>
    <w:basedOn w:val="a"/>
    <w:link w:val="a9"/>
    <w:rsid w:val="00D56C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5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B0D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0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CD2"/>
    <w:pPr>
      <w:widowControl w:val="0"/>
      <w:pBdr>
        <w:bottom w:val="single" w:sz="6" w:space="20" w:color="auto"/>
      </w:pBdr>
      <w:ind w:right="-1283"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56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56CD2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56C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D56CD2"/>
  </w:style>
  <w:style w:type="paragraph" w:styleId="a8">
    <w:name w:val="footer"/>
    <w:basedOn w:val="a"/>
    <w:link w:val="a9"/>
    <w:rsid w:val="00D56C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56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SHU_VIRTUAL</cp:lastModifiedBy>
  <cp:revision>8</cp:revision>
  <dcterms:created xsi:type="dcterms:W3CDTF">2015-04-04T10:19:00Z</dcterms:created>
  <dcterms:modified xsi:type="dcterms:W3CDTF">2015-04-04T11:51:00Z</dcterms:modified>
</cp:coreProperties>
</file>