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D2" w:rsidRPr="00C62CBC" w:rsidRDefault="00D56CD2" w:rsidP="00D56CD2">
      <w:pPr>
        <w:pStyle w:val="a5"/>
        <w:spacing w:line="360" w:lineRule="exact"/>
        <w:ind w:left="-180" w:right="-187"/>
        <w:rPr>
          <w:sz w:val="26"/>
          <w:szCs w:val="26"/>
        </w:rPr>
      </w:pPr>
      <w:r w:rsidRPr="00C62CBC">
        <w:rPr>
          <w:sz w:val="26"/>
          <w:szCs w:val="26"/>
        </w:rPr>
        <w:t xml:space="preserve">ТЕНДЕНЦИИ И НАПРАВЛЕНИЯ РАЗВИТИЯ ТЕОРИИ ФЕДЕРАТИВНОГО ГОСУДАРСТВА В ГЕРМАНИИ (1920-е ГГ.)  </w:t>
      </w:r>
    </w:p>
    <w:p w:rsidR="00D56CD2" w:rsidRPr="00C62CBC" w:rsidRDefault="00D56CD2" w:rsidP="00D56CD2">
      <w:pPr>
        <w:pStyle w:val="a5"/>
        <w:spacing w:line="360" w:lineRule="exact"/>
        <w:ind w:left="-180" w:right="-187"/>
        <w:rPr>
          <w:sz w:val="26"/>
          <w:szCs w:val="26"/>
        </w:rPr>
      </w:pPr>
    </w:p>
    <w:p w:rsidR="00D56CD2" w:rsidRPr="004534E2" w:rsidRDefault="00D56CD2" w:rsidP="00D56CD2">
      <w:pPr>
        <w:pStyle w:val="a5"/>
        <w:spacing w:line="360" w:lineRule="exact"/>
        <w:ind w:left="-180" w:right="-187"/>
        <w:jc w:val="right"/>
        <w:rPr>
          <w:b w:val="0"/>
          <w:sz w:val="26"/>
          <w:szCs w:val="26"/>
        </w:rPr>
      </w:pPr>
      <w:r w:rsidRPr="004534E2">
        <w:rPr>
          <w:b w:val="0"/>
          <w:sz w:val="26"/>
          <w:szCs w:val="26"/>
        </w:rPr>
        <w:t>О.Г. Субботин</w:t>
      </w:r>
    </w:p>
    <w:p w:rsidR="00D56CD2" w:rsidRDefault="00D56CD2" w:rsidP="00D56CD2">
      <w:pPr>
        <w:spacing w:line="360" w:lineRule="exact"/>
        <w:ind w:left="-180" w:right="-187"/>
        <w:jc w:val="center"/>
        <w:rPr>
          <w:b/>
          <w:sz w:val="26"/>
          <w:szCs w:val="26"/>
        </w:rPr>
      </w:pPr>
    </w:p>
    <w:p w:rsidR="002C75E1" w:rsidRPr="002C75E1" w:rsidRDefault="002C75E1" w:rsidP="00036BE8">
      <w:pPr>
        <w:spacing w:line="360" w:lineRule="exact"/>
        <w:ind w:right="-187" w:firstLine="567"/>
        <w:jc w:val="both"/>
        <w:rPr>
          <w:i/>
          <w:sz w:val="26"/>
          <w:szCs w:val="26"/>
        </w:rPr>
      </w:pPr>
      <w:r w:rsidRPr="002C75E1">
        <w:rPr>
          <w:i/>
          <w:sz w:val="26"/>
          <w:szCs w:val="26"/>
        </w:rPr>
        <w:t xml:space="preserve">Ключевые слова: </w:t>
      </w:r>
      <w:r>
        <w:rPr>
          <w:i/>
          <w:sz w:val="26"/>
          <w:szCs w:val="26"/>
        </w:rPr>
        <w:t xml:space="preserve">федерализм, унитаризм, правовая теория, </w:t>
      </w:r>
      <w:r w:rsidR="00657548">
        <w:rPr>
          <w:i/>
          <w:sz w:val="26"/>
          <w:szCs w:val="26"/>
        </w:rPr>
        <w:t>конституция, суверенитет, централизация, децентрализация, интеграционная теория.</w:t>
      </w:r>
    </w:p>
    <w:p w:rsidR="002C75E1" w:rsidRPr="00C62CBC" w:rsidRDefault="002C75E1" w:rsidP="002C75E1">
      <w:pPr>
        <w:spacing w:line="360" w:lineRule="exact"/>
        <w:ind w:left="567" w:right="-187"/>
        <w:jc w:val="both"/>
        <w:rPr>
          <w:b/>
          <w:sz w:val="26"/>
          <w:szCs w:val="26"/>
        </w:rPr>
      </w:pPr>
    </w:p>
    <w:p w:rsidR="00D56CD2" w:rsidRPr="00C62CBC" w:rsidRDefault="00D56CD2" w:rsidP="004534E2">
      <w:pPr>
        <w:pStyle w:val="a3"/>
        <w:pBdr>
          <w:bottom w:val="none" w:sz="0" w:space="0" w:color="auto"/>
        </w:pBdr>
        <w:spacing w:line="360" w:lineRule="auto"/>
        <w:ind w:left="-180" w:right="-187"/>
        <w:rPr>
          <w:sz w:val="26"/>
          <w:szCs w:val="26"/>
        </w:rPr>
      </w:pPr>
      <w:r w:rsidRPr="00C62CBC">
        <w:rPr>
          <w:sz w:val="26"/>
          <w:szCs w:val="26"/>
        </w:rPr>
        <w:t xml:space="preserve">Теория федеративного государства, сформулированная и развитая немецкими юристами в последней трети </w:t>
      </w:r>
      <w:r w:rsidRPr="00C62CBC">
        <w:rPr>
          <w:sz w:val="26"/>
          <w:szCs w:val="26"/>
          <w:lang w:val="de-DE"/>
        </w:rPr>
        <w:t>XIX</w:t>
      </w:r>
      <w:r w:rsidRPr="00C62CBC">
        <w:rPr>
          <w:sz w:val="26"/>
          <w:szCs w:val="26"/>
        </w:rPr>
        <w:t xml:space="preserve"> – начале </w:t>
      </w:r>
      <w:r w:rsidRPr="00C62CBC">
        <w:rPr>
          <w:sz w:val="26"/>
          <w:szCs w:val="26"/>
          <w:lang w:val="de-DE"/>
        </w:rPr>
        <w:t>XX</w:t>
      </w:r>
      <w:r w:rsidR="002C75E1">
        <w:rPr>
          <w:sz w:val="26"/>
          <w:szCs w:val="26"/>
        </w:rPr>
        <w:t xml:space="preserve"> в.</w:t>
      </w:r>
      <w:r w:rsidRPr="00C62CBC">
        <w:rPr>
          <w:sz w:val="26"/>
          <w:szCs w:val="26"/>
        </w:rPr>
        <w:t>, лежала в основе конституционно-правовой дискуссии 20-х гг. о путях и способах преодоления негативных последствий ликвидации Германской империи и модернизации немецкого общества. Тесно связанная с понятиями «суверенитет», «верность союзу» (</w:t>
      </w:r>
      <w:r w:rsidRPr="00C62CBC">
        <w:rPr>
          <w:sz w:val="26"/>
          <w:szCs w:val="26"/>
          <w:lang w:val="de-DE"/>
        </w:rPr>
        <w:t>Bundestreue</w:t>
      </w:r>
      <w:r w:rsidRPr="00C62CBC">
        <w:rPr>
          <w:sz w:val="26"/>
          <w:szCs w:val="26"/>
        </w:rPr>
        <w:t xml:space="preserve">), «чрезвычайной право», «имперская экзекуция», «унитаризм», «децентрализация» и т.д., она была нацелена на поиск качественно новых критериев идентификации федерализма как формы территориально-политического устройства. В конституции 1919 г. не содержалось прямого указания на </w:t>
      </w:r>
      <w:r>
        <w:rPr>
          <w:sz w:val="26"/>
          <w:szCs w:val="26"/>
        </w:rPr>
        <w:t xml:space="preserve">федеративную </w:t>
      </w:r>
      <w:r w:rsidRPr="00C62CBC">
        <w:rPr>
          <w:sz w:val="26"/>
          <w:szCs w:val="26"/>
        </w:rPr>
        <w:t xml:space="preserve">структуру, вследствие чего широкое распространение получили концепции «унитарного союзного государства», «пограничных государств» в проекции на земли, «децентрализованного единого государства» и т. д. Ключевое значение в таких случаях приобретал вопрос о статусе субъектов рейха и объеме принадлежавших им полномочий, от решения которого напрямую зависело будущее немецких территорий и стабильность республики в целом.  </w:t>
      </w:r>
    </w:p>
    <w:p w:rsidR="00D56CD2" w:rsidRPr="00C62CBC" w:rsidRDefault="00D56CD2" w:rsidP="004534E2">
      <w:pPr>
        <w:pStyle w:val="a3"/>
        <w:pBdr>
          <w:bottom w:val="none" w:sz="0" w:space="0" w:color="auto"/>
        </w:pBdr>
        <w:spacing w:line="360" w:lineRule="auto"/>
        <w:ind w:left="-180" w:right="-187"/>
        <w:rPr>
          <w:sz w:val="26"/>
          <w:szCs w:val="26"/>
        </w:rPr>
      </w:pPr>
      <w:r w:rsidRPr="00C62CBC">
        <w:rPr>
          <w:sz w:val="26"/>
          <w:szCs w:val="26"/>
        </w:rPr>
        <w:t xml:space="preserve">Веймарская конституция (далее – ВК) не зафиксировала системных границ республиканского строя, который при наличии квалифицированного парламентского большинства мог быть преобразован в монархию [1,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41]. Доминирующей в среде немецких юристов являлась точка зрения о союзном характере Германии. Ее придерживались Г. Аншютц, Ф. Штир-Зомло, К. Билфингер, Р. Тома и др., в то время как Л. Виттмайер, Ф. Петцш-Хеффтер, Э. Якоби относили рейх к типу «децентрализованного единого государства, состоящего из высокопотенциальных автономий» [2,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68, 71; 3,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22; 4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351–358, 372–373, 396–398; 5,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16–17; 6,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131, 134–135;7,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79–83]. При этом Г. Ляйбхольц и Э. Форстхофф отвергали критерий «исконной власти» как признак государственности, а Г. Еллинек призывал судить о германском федерализме не по фиксированным в конституции нормам, а по </w:t>
      </w:r>
      <w:r w:rsidRPr="00C62CBC">
        <w:rPr>
          <w:sz w:val="26"/>
          <w:szCs w:val="26"/>
        </w:rPr>
        <w:lastRenderedPageBreak/>
        <w:t xml:space="preserve">фактическим отношениям в стране [8,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529; 9,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784]. Все это лишний раз доказывало, что «ярко выраженное государственное самосознание не являлось сильной чертой характера немецких граждан, владевших искаженным представлением о содержании государственной идеи и не демонстрировавших глубокой внутренней привязанности к единству», – писал К. Эллезер [10,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>. 17].</w:t>
      </w:r>
    </w:p>
    <w:p w:rsidR="00D56CD2" w:rsidRPr="00C62CBC" w:rsidRDefault="00D56CD2" w:rsidP="004534E2">
      <w:pPr>
        <w:pStyle w:val="a3"/>
        <w:pBdr>
          <w:bottom w:val="none" w:sz="0" w:space="0" w:color="auto"/>
        </w:pBdr>
        <w:spacing w:line="360" w:lineRule="auto"/>
        <w:ind w:left="-180" w:right="-187"/>
        <w:rPr>
          <w:sz w:val="26"/>
          <w:szCs w:val="26"/>
        </w:rPr>
      </w:pPr>
      <w:r w:rsidRPr="00C62CBC">
        <w:rPr>
          <w:sz w:val="26"/>
          <w:szCs w:val="26"/>
        </w:rPr>
        <w:t>Вопрос о статусе немецких земель решался в среде юристов на основании формального критерия – наличия или отсутствия суверенитета. Его идентификация как атрибута верховной власти и международной правосубъектности соз</w:t>
      </w:r>
      <w:r w:rsidR="00C23067">
        <w:rPr>
          <w:sz w:val="26"/>
          <w:szCs w:val="26"/>
        </w:rPr>
        <w:t>давала не мало преград ученым. Йе</w:t>
      </w:r>
      <w:r w:rsidRPr="00C62CBC">
        <w:rPr>
          <w:sz w:val="26"/>
          <w:szCs w:val="26"/>
        </w:rPr>
        <w:t xml:space="preserve">ллинек трактовал федерацию как недоговорное, «конституционно-правовое объединение государств», в рамках которого центр обладал суверенитетом и верховной властью, а полномочия несуверенных субъектов ограничивались свободными от его притязаний сферами и участием в работе органа союзного  представительства [9,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>. 769, 773–774].</w:t>
      </w:r>
    </w:p>
    <w:p w:rsidR="00D56CD2" w:rsidRPr="00C62CBC" w:rsidRDefault="00D56CD2" w:rsidP="004534E2">
      <w:pPr>
        <w:pStyle w:val="a3"/>
        <w:pBdr>
          <w:bottom w:val="none" w:sz="0" w:space="0" w:color="auto"/>
        </w:pBdr>
        <w:spacing w:line="360" w:lineRule="auto"/>
        <w:ind w:left="-180" w:right="-187"/>
        <w:rPr>
          <w:sz w:val="26"/>
          <w:szCs w:val="26"/>
        </w:rPr>
      </w:pPr>
      <w:r w:rsidRPr="00C62CBC">
        <w:rPr>
          <w:sz w:val="26"/>
          <w:szCs w:val="26"/>
        </w:rPr>
        <w:t xml:space="preserve">На вооружении у Г. Навиаски было несколько критериев дефиниции «союза». По мнению ученого, он обладал совокупностью компетенций входящих в него членов, а суверенитет был присущ и рейху, и землям [11,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46–47]. Концепции «разделенного суверенитета» придерживался и немецкий правовед Й. Хачек, в то время как К. Шмитт представлял федерацию добровольным, долгосрочным политическим объединением, в рамках которого статус любого из членов мог меняться в угоду интересам нации [12,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67; 13,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>. 366].</w:t>
      </w:r>
    </w:p>
    <w:p w:rsidR="00D56CD2" w:rsidRPr="00C62CBC" w:rsidRDefault="00D56CD2" w:rsidP="004534E2">
      <w:pPr>
        <w:pStyle w:val="a3"/>
        <w:pBdr>
          <w:bottom w:val="none" w:sz="0" w:space="0" w:color="auto"/>
        </w:pBdr>
        <w:spacing w:line="360" w:lineRule="auto"/>
        <w:ind w:left="-180" w:right="-187"/>
        <w:rPr>
          <w:sz w:val="26"/>
          <w:szCs w:val="26"/>
        </w:rPr>
      </w:pPr>
      <w:r w:rsidRPr="00C62CBC">
        <w:rPr>
          <w:sz w:val="26"/>
          <w:szCs w:val="26"/>
        </w:rPr>
        <w:t xml:space="preserve">Попытки сформулировать общую теорию федеративного государства в Германии окончились провалом. Трудности возникли с определением фундаментальных принципов его построения, а также с решением проблемы «вертикального дуализма» [14,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36–37]. Пётцш-Хеффтер говорил о землях как о самостоятельных субъектах только в знак уважения к их прошлому [7,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80]. Бюлер и Тома не видели смысла в логической дифференциации несуверенных государств и автономий [15,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175; 16,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170]. Для Тома определяющими в процессе идентификации немецкой республики представлялись правовые, политические и социологические аспекты, традиции исторического развития [15,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173–175]. В итоге вопрос о юридической природе немецкой федерации долгое время оставался открытым. ВК не содержала единой терминологии в применении к субъектам. Речь шла и о землях и о государствах, а конкретный институт права рассматривался </w:t>
      </w:r>
      <w:r w:rsidRPr="00C62CBC">
        <w:rPr>
          <w:sz w:val="26"/>
          <w:szCs w:val="26"/>
        </w:rPr>
        <w:lastRenderedPageBreak/>
        <w:t xml:space="preserve">зачастую как находящаяся в потоке истории попытка решения политических задач [17,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>. 76].</w:t>
      </w:r>
    </w:p>
    <w:p w:rsidR="00D56CD2" w:rsidRPr="00C62CBC" w:rsidRDefault="00D56CD2" w:rsidP="004534E2">
      <w:pPr>
        <w:pStyle w:val="a3"/>
        <w:pBdr>
          <w:bottom w:val="none" w:sz="0" w:space="0" w:color="auto"/>
        </w:pBdr>
        <w:spacing w:line="360" w:lineRule="auto"/>
        <w:ind w:left="-180" w:right="-187"/>
        <w:rPr>
          <w:sz w:val="26"/>
          <w:szCs w:val="26"/>
        </w:rPr>
      </w:pPr>
      <w:r w:rsidRPr="00C62CBC">
        <w:rPr>
          <w:sz w:val="26"/>
          <w:szCs w:val="26"/>
        </w:rPr>
        <w:t xml:space="preserve">«Окончательной легитимации» веймарского федерализма мешало, по мнению Тома, сосуществование исторически сложившихся крупных ландшафтов, обладающих партикуляристским самосознанием, гигантской по размерам Пруссии, одержимой своей «национально-государственной миссией», и неспособных к самостоятельности земель [15,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184–185]. Иных взглядов придерживался Г. Навиаски, сконструировавший юридическую модель союза, основанного на потребности во взаимном дополнении федерации и ее членов. В то время как сфера полномочий Берлина складывалась частично из компетенций его субъектов, последние сохраняли государственный статус, будучи исконными носителями своих прав [18,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25]. «В схеме “федерация – союзное государство”, – писал он, – </w:t>
      </w:r>
      <w:r w:rsidR="00C23067" w:rsidRPr="00C23067">
        <w:rPr>
          <w:sz w:val="26"/>
          <w:szCs w:val="26"/>
        </w:rPr>
        <w:t>[</w:t>
      </w:r>
      <w:r w:rsidRPr="00C62CBC">
        <w:rPr>
          <w:sz w:val="26"/>
          <w:szCs w:val="26"/>
        </w:rPr>
        <w:t>…</w:t>
      </w:r>
      <w:r w:rsidR="00C23067" w:rsidRPr="00C23067">
        <w:rPr>
          <w:sz w:val="26"/>
          <w:szCs w:val="26"/>
        </w:rPr>
        <w:t>]</w:t>
      </w:r>
      <w:r w:rsidRPr="00C62CBC">
        <w:rPr>
          <w:sz w:val="26"/>
          <w:szCs w:val="26"/>
        </w:rPr>
        <w:t xml:space="preserve">речь идет о взаимозависимости и значит не о субординации, а о координации», о распределении власти между центром и регионами, принципиально стоящими на одной ступени и дополняющими друг друга [18,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25, 28–29, 41, 46–48, 115]. </w:t>
      </w:r>
    </w:p>
    <w:p w:rsidR="00D56CD2" w:rsidRPr="00C62CBC" w:rsidRDefault="00D56CD2" w:rsidP="004534E2">
      <w:pPr>
        <w:pStyle w:val="a3"/>
        <w:pBdr>
          <w:bottom w:val="none" w:sz="0" w:space="0" w:color="auto"/>
        </w:pBdr>
        <w:spacing w:line="360" w:lineRule="auto"/>
        <w:ind w:left="-180" w:right="-187"/>
        <w:rPr>
          <w:sz w:val="26"/>
          <w:szCs w:val="26"/>
        </w:rPr>
      </w:pPr>
      <w:r w:rsidRPr="00C62CBC">
        <w:rPr>
          <w:sz w:val="26"/>
          <w:szCs w:val="26"/>
        </w:rPr>
        <w:t xml:space="preserve">Для профессора Г. Кельзена правовое учение, основанное на постулате о «независимых отношениях» рейха и земель, было ложным, искажающем действительность [19,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163–164]. Федерация, по мнению ученого, представляла собой специфический случай децентрализации. Согласно выстроенной им юридической схеме, она состояла из трех «правопорядков», или уровней: </w:t>
      </w:r>
      <w:r w:rsidRPr="00C62CBC">
        <w:rPr>
          <w:i/>
          <w:sz w:val="26"/>
          <w:szCs w:val="26"/>
        </w:rPr>
        <w:t>общего</w:t>
      </w:r>
      <w:r w:rsidRPr="00C62CBC">
        <w:rPr>
          <w:sz w:val="26"/>
          <w:szCs w:val="26"/>
        </w:rPr>
        <w:t xml:space="preserve">, </w:t>
      </w:r>
      <w:r w:rsidRPr="00C62CBC">
        <w:rPr>
          <w:i/>
          <w:sz w:val="26"/>
          <w:szCs w:val="26"/>
        </w:rPr>
        <w:t>центрального</w:t>
      </w:r>
      <w:r w:rsidRPr="00C62CBC">
        <w:rPr>
          <w:sz w:val="26"/>
          <w:szCs w:val="26"/>
        </w:rPr>
        <w:t xml:space="preserve"> и </w:t>
      </w:r>
      <w:r w:rsidRPr="00C62CBC">
        <w:rPr>
          <w:i/>
          <w:sz w:val="26"/>
          <w:szCs w:val="26"/>
        </w:rPr>
        <w:t>локальных</w:t>
      </w:r>
      <w:r w:rsidRPr="00C62CBC">
        <w:rPr>
          <w:sz w:val="26"/>
          <w:szCs w:val="26"/>
        </w:rPr>
        <w:t xml:space="preserve">, где рейх и земли не обладали суверенитетом, черпая компетенции из национальной конституции. Такая логика подразумевала триединство федерации, когда союз и его члены как части целого действовали в рамках «общего государства», располагающего собственной конституцией и выступающего субъектом международных отношений [19,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>. 198–200].</w:t>
      </w:r>
    </w:p>
    <w:p w:rsidR="00D56CD2" w:rsidRPr="00C62CBC" w:rsidRDefault="00D56CD2" w:rsidP="004534E2">
      <w:pPr>
        <w:pStyle w:val="a3"/>
        <w:pBdr>
          <w:bottom w:val="none" w:sz="0" w:space="0" w:color="auto"/>
        </w:pBdr>
        <w:spacing w:line="360" w:lineRule="auto"/>
        <w:ind w:left="-180" w:right="-187"/>
        <w:rPr>
          <w:sz w:val="26"/>
          <w:szCs w:val="26"/>
        </w:rPr>
      </w:pPr>
      <w:r w:rsidRPr="00C62CBC">
        <w:rPr>
          <w:sz w:val="26"/>
          <w:szCs w:val="26"/>
        </w:rPr>
        <w:t>С критикой теории классического федерализма, основанной на догме П</w:t>
      </w:r>
      <w:r w:rsidR="00C23067">
        <w:rPr>
          <w:sz w:val="26"/>
          <w:szCs w:val="26"/>
        </w:rPr>
        <w:t>ауля</w:t>
      </w:r>
      <w:r w:rsidRPr="00C62CBC">
        <w:rPr>
          <w:sz w:val="26"/>
          <w:szCs w:val="26"/>
        </w:rPr>
        <w:t xml:space="preserve">Лабанда о неделимости суверенитета и медиатизации государственных образований, выступил один из наиболее спорных и в то же время ярких немецких правоведов </w:t>
      </w:r>
      <w:r w:rsidRPr="00C62CBC">
        <w:rPr>
          <w:sz w:val="26"/>
          <w:szCs w:val="26"/>
          <w:lang w:val="de-DE"/>
        </w:rPr>
        <w:t>XX</w:t>
      </w:r>
      <w:r w:rsidR="00C23067">
        <w:rPr>
          <w:sz w:val="26"/>
          <w:szCs w:val="26"/>
        </w:rPr>
        <w:t xml:space="preserve"> в.</w:t>
      </w:r>
      <w:r w:rsidRPr="00C62CBC">
        <w:rPr>
          <w:sz w:val="26"/>
          <w:szCs w:val="26"/>
        </w:rPr>
        <w:t xml:space="preserve"> К</w:t>
      </w:r>
      <w:r w:rsidR="00C23067">
        <w:rPr>
          <w:sz w:val="26"/>
          <w:szCs w:val="26"/>
        </w:rPr>
        <w:t>арл</w:t>
      </w:r>
      <w:r w:rsidRPr="00C62CBC">
        <w:rPr>
          <w:sz w:val="26"/>
          <w:szCs w:val="26"/>
        </w:rPr>
        <w:t xml:space="preserve">Шмитт. Он отрицал устоявшиеся системы и предопределенные критерии, апеллируя к конкретным обстоятельствам и материям. Федерацию Шмитт классифицировал как покоящееся на свободном соглашении, долгосрочное объединение, в котором политический статус каждого отдельного члена «подчинен </w:t>
      </w:r>
      <w:r w:rsidRPr="00C62CBC">
        <w:rPr>
          <w:sz w:val="26"/>
          <w:szCs w:val="26"/>
        </w:rPr>
        <w:lastRenderedPageBreak/>
        <w:t xml:space="preserve">общей цели» – укреплению «германского единства» [13,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366]. Сущностной чертой такого строения являлся дуализм, т. е. соединение политического единства в центре и плюрализма на местах [13,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>. 389].</w:t>
      </w:r>
    </w:p>
    <w:p w:rsidR="00D56CD2" w:rsidRPr="00C62CBC" w:rsidRDefault="00D56CD2" w:rsidP="004534E2">
      <w:pPr>
        <w:pStyle w:val="a3"/>
        <w:pBdr>
          <w:bottom w:val="none" w:sz="0" w:space="0" w:color="auto"/>
        </w:pBdr>
        <w:spacing w:line="360" w:lineRule="auto"/>
        <w:ind w:left="-180" w:right="-187"/>
        <w:rPr>
          <w:sz w:val="26"/>
          <w:szCs w:val="26"/>
        </w:rPr>
      </w:pPr>
      <w:r w:rsidRPr="00C62CBC">
        <w:rPr>
          <w:sz w:val="26"/>
          <w:szCs w:val="26"/>
        </w:rPr>
        <w:t xml:space="preserve">Вопрос о суверенитете Шмитт оставил открытым в силу гомогенности членов союза и их субстанционального равенства. Единство (государственное) в понимании ученого было не догмой, а динамически развивающимся процессом повседневного формирования, обновления, интеграции. Поэтому не юридическое соглашение, а тождественность политико-правовой субстанции и как следствие этого – воля к единству служили гарантом незыблемости федеративного строя [13,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5–6, 371–373]. </w:t>
      </w:r>
    </w:p>
    <w:p w:rsidR="00D56CD2" w:rsidRPr="00C62CBC" w:rsidRDefault="00D56CD2" w:rsidP="004534E2">
      <w:pPr>
        <w:pStyle w:val="a3"/>
        <w:pBdr>
          <w:bottom w:val="none" w:sz="0" w:space="0" w:color="auto"/>
        </w:pBdr>
        <w:spacing w:line="360" w:lineRule="auto"/>
        <w:ind w:left="-180" w:right="-187"/>
        <w:rPr>
          <w:sz w:val="26"/>
          <w:szCs w:val="26"/>
        </w:rPr>
      </w:pPr>
      <w:r w:rsidRPr="00C62CBC">
        <w:rPr>
          <w:sz w:val="26"/>
          <w:szCs w:val="26"/>
        </w:rPr>
        <w:t xml:space="preserve">На рейх немецкий ученый смотрел как на гражданское правовое объединение в форме демократической республики с федеративной основой. Последняя, будучи результатом основополагающего политического решения нации, не могла быть упразднена посредством простого конституционного закона, что, впрочем, не гарантировало землям статус-кво, так как вопрос о форме государства в Германии находился в «отсроченном формальном компромиссе» [8,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319–321]. «Такой способ преодоления научно-правового позитивизма плавно переходил социологический позитивизм», когда научная система «заменялась живой волей» [20,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>. 151–152].</w:t>
      </w:r>
    </w:p>
    <w:p w:rsidR="00D56CD2" w:rsidRPr="00C62CBC" w:rsidRDefault="00D56CD2" w:rsidP="004534E2">
      <w:pPr>
        <w:pStyle w:val="a3"/>
        <w:pBdr>
          <w:bottom w:val="none" w:sz="0" w:space="0" w:color="auto"/>
        </w:pBdr>
        <w:spacing w:line="360" w:lineRule="auto"/>
        <w:ind w:left="-180" w:right="-187"/>
        <w:rPr>
          <w:sz w:val="26"/>
          <w:szCs w:val="26"/>
        </w:rPr>
      </w:pPr>
      <w:r w:rsidRPr="00C62CBC">
        <w:rPr>
          <w:sz w:val="26"/>
          <w:szCs w:val="26"/>
        </w:rPr>
        <w:t>Заметный вклад в теорию федеративных отношений в годы Веймарс</w:t>
      </w:r>
      <w:r w:rsidR="00C23067">
        <w:rPr>
          <w:sz w:val="26"/>
          <w:szCs w:val="26"/>
        </w:rPr>
        <w:t>кой республики внес профессор Рудольф</w:t>
      </w:r>
      <w:r w:rsidRPr="00C62CBC">
        <w:rPr>
          <w:sz w:val="26"/>
          <w:szCs w:val="26"/>
        </w:rPr>
        <w:t xml:space="preserve">Сменд. Господствующему в стране научно-правовому позитивизму и «завуалированному социологическому позитивизму» Шмитта он противопоставил интеграционное учение, пытаясь переосмыслить сущность имперского строения с позиций современной философии жизни [20,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152; 21,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18; 22,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>. 83].</w:t>
      </w:r>
    </w:p>
    <w:p w:rsidR="00D56CD2" w:rsidRPr="00C62CBC" w:rsidRDefault="00D56CD2" w:rsidP="004534E2">
      <w:pPr>
        <w:pStyle w:val="a3"/>
        <w:pBdr>
          <w:bottom w:val="none" w:sz="0" w:space="0" w:color="auto"/>
        </w:pBdr>
        <w:spacing w:line="360" w:lineRule="auto"/>
        <w:ind w:left="-180" w:right="-187"/>
        <w:rPr>
          <w:sz w:val="26"/>
          <w:szCs w:val="26"/>
        </w:rPr>
      </w:pPr>
      <w:r w:rsidRPr="00C62CBC">
        <w:rPr>
          <w:sz w:val="26"/>
          <w:szCs w:val="26"/>
        </w:rPr>
        <w:t xml:space="preserve">Федеративную теорию юрист пытался вывести за рамки «объективистской механики и теологии», отказавшись от интерпретации «союза» как компромисса двух движущих сил – федеративной и унитарной. Предназначение «союза» Сменд видел в создании условий для их единства и взаимодействия, а федеративной теории – в поиске ответа на вопрос о способе трансформации подобного объединения в полноценную политическую систему [21,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117–118; ]. Следовательно, повседневная жизнь «здоровой федерации» сводилась к интеграции, средством достижения которой выступали ее субъекты [21,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120, 125–126]. Лишь эта цель легитимировала земли, служила позитивным источником их полномочий. </w:t>
      </w:r>
    </w:p>
    <w:p w:rsidR="00D56CD2" w:rsidRPr="00C62CBC" w:rsidRDefault="00D56CD2" w:rsidP="004534E2">
      <w:pPr>
        <w:pStyle w:val="a3"/>
        <w:pBdr>
          <w:bottom w:val="none" w:sz="0" w:space="0" w:color="auto"/>
        </w:pBdr>
        <w:spacing w:line="360" w:lineRule="auto"/>
        <w:ind w:left="-180" w:right="-187"/>
        <w:rPr>
          <w:sz w:val="26"/>
          <w:szCs w:val="26"/>
        </w:rPr>
      </w:pPr>
      <w:r w:rsidRPr="00C62CBC">
        <w:rPr>
          <w:sz w:val="26"/>
          <w:szCs w:val="26"/>
        </w:rPr>
        <w:lastRenderedPageBreak/>
        <w:t xml:space="preserve">Анализируя исторический опыт Германии, Сменд пришел к выводу о разрушительном влиянии на интеграционные процессы в стране ВК, регламентировавшей отношения рейха и земель «в основном с позитивистско-правовых позиций» [21,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136, 223–232]. Конституцию 1919 г. ученый называл отмеченным противоречиями между «нормированными задачами и легитимированными ценностями» «политическим просчетом»,  исправить который считал возможным через укрепление института «верности союзу», известного со времен Германской империи и мутировавшего в годы республиканского правления из законного права земель на незыблемость федеративного строя в обязанность следовать установленным ВК формам организации и поведения власти. И поскольку государство являлось «частью духовного бытия», Сменд отвергал традиционные учения с их умозрительными юридическими конструкциями и «формально-логическими представлениями» [21,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136, 170; 17,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75]. </w:t>
      </w:r>
    </w:p>
    <w:p w:rsidR="00D56CD2" w:rsidRPr="00C62CBC" w:rsidRDefault="00D56CD2" w:rsidP="004534E2">
      <w:pPr>
        <w:pStyle w:val="a3"/>
        <w:pBdr>
          <w:bottom w:val="none" w:sz="0" w:space="0" w:color="auto"/>
        </w:pBdr>
        <w:spacing w:line="360" w:lineRule="auto"/>
        <w:ind w:left="-180" w:right="-187"/>
        <w:rPr>
          <w:sz w:val="26"/>
          <w:szCs w:val="26"/>
        </w:rPr>
      </w:pPr>
      <w:r w:rsidRPr="00C62CBC">
        <w:rPr>
          <w:sz w:val="26"/>
          <w:szCs w:val="26"/>
        </w:rPr>
        <w:t xml:space="preserve">Реакция на «интеграционную» теорию, которая до недавнего времени считалась универсальной, допускающей различные формы толкования, предоставляющей «пространство для конфликта» и в то же время способной ограничить его жесткими рамками, была весьма противоречивой [23,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306]. Кельзен назвал ее «апологией диктатуры», а Штир-Зомло «большим заблуждением», ведущим к «философско-романтическую мистицизму», отвергающим юридическую дисциплину и превращающим ее в «политическую лже-юриспруденцию» [17,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86].Сменда критиковали за антидемократизм и крайний консерватизм. Представитель классического позитивизма К. Шмитт классифицировал его учение как «социальное», относящееся к «специальной теории государства» [24,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>. 221]. К</w:t>
      </w:r>
      <w:r w:rsidRPr="00C62CBC">
        <w:rPr>
          <w:sz w:val="26"/>
          <w:szCs w:val="26"/>
          <w:lang w:val="de-DE"/>
        </w:rPr>
        <w:t>e</w:t>
      </w:r>
      <w:r w:rsidRPr="00C62CBC">
        <w:rPr>
          <w:sz w:val="26"/>
          <w:szCs w:val="26"/>
        </w:rPr>
        <w:t xml:space="preserve">лльройтер считал принципиальную защиту федеративного строя с учетом интеграционного потенциала земель и вовсе бессмысленной [25,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26–27]. «В процессе поляризации унитаризма и федерализма, – утверждал ученый, – молодежь перейдет в лагерь унитариев, приведет страну к совершенно иному внутригосударственному делению, отличному от желаний старшего поколения» [25, </w:t>
      </w:r>
      <w:r w:rsidRPr="00C62CBC">
        <w:rPr>
          <w:sz w:val="26"/>
          <w:szCs w:val="26"/>
          <w:lang w:val="en-US"/>
        </w:rPr>
        <w:t>S</w:t>
      </w:r>
      <w:r w:rsidRPr="00C62CBC">
        <w:rPr>
          <w:sz w:val="26"/>
          <w:szCs w:val="26"/>
        </w:rPr>
        <w:t>. 27–28].</w:t>
      </w:r>
    </w:p>
    <w:p w:rsidR="00D56CD2" w:rsidRPr="00C62CBC" w:rsidRDefault="00D56CD2" w:rsidP="004534E2">
      <w:pPr>
        <w:pStyle w:val="a3"/>
        <w:pBdr>
          <w:bottom w:val="none" w:sz="0" w:space="0" w:color="auto"/>
        </w:pBdr>
        <w:spacing w:line="360" w:lineRule="auto"/>
        <w:ind w:left="-180" w:right="-187"/>
        <w:rPr>
          <w:sz w:val="26"/>
          <w:szCs w:val="26"/>
        </w:rPr>
      </w:pPr>
      <w:r w:rsidRPr="00C62CBC">
        <w:rPr>
          <w:sz w:val="26"/>
          <w:szCs w:val="26"/>
        </w:rPr>
        <w:t xml:space="preserve">В целом необходимо отметить, что господствующее в годы Веймарской республики учение о государстве препятствовало поиску политического консенсуса в немецком обществе. От дореволюционной эпохи оно унаследовало «позитивистско-формалистское» отношение к конституции, выходящее за рамки юридической науки </w:t>
      </w:r>
      <w:r w:rsidRPr="00C62CBC">
        <w:rPr>
          <w:sz w:val="26"/>
          <w:szCs w:val="26"/>
        </w:rPr>
        <w:lastRenderedPageBreak/>
        <w:t xml:space="preserve">[20,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148]. При таком подходе правовое государство подразумевало привязку власти к закону, с которым не были связаны конкретные ожидания содержательного характера. Определяющей оказывалась формально выраженная воля «ответственного органа», что на практике подрывало позиции немецких земель и не позволяло поставить заслон распространению политического экстремизма в начале 1930-х гг. [26,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19; 20,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149]. </w:t>
      </w:r>
    </w:p>
    <w:p w:rsidR="00D56CD2" w:rsidRPr="00C62CBC" w:rsidRDefault="00D56CD2" w:rsidP="004534E2">
      <w:pPr>
        <w:pStyle w:val="a3"/>
        <w:pBdr>
          <w:bottom w:val="none" w:sz="0" w:space="0" w:color="auto"/>
        </w:pBdr>
        <w:spacing w:line="360" w:lineRule="auto"/>
        <w:ind w:left="-180" w:right="-187"/>
        <w:rPr>
          <w:sz w:val="26"/>
          <w:szCs w:val="26"/>
        </w:rPr>
      </w:pPr>
      <w:r w:rsidRPr="00C62CBC">
        <w:rPr>
          <w:sz w:val="26"/>
          <w:szCs w:val="26"/>
        </w:rPr>
        <w:t xml:space="preserve">«Основные течения конституционно-правовой дискуссии в Германии, включая традиционные позитивистские, фокусировались на государстве как носителе суверенитета, а не плюрализации общества» [23, </w:t>
      </w:r>
      <w:r w:rsidRPr="00C62CBC">
        <w:rPr>
          <w:sz w:val="26"/>
          <w:szCs w:val="26"/>
          <w:lang w:val="de-DE"/>
        </w:rPr>
        <w:t>S</w:t>
      </w:r>
      <w:r w:rsidRPr="00C62CBC">
        <w:rPr>
          <w:sz w:val="26"/>
          <w:szCs w:val="26"/>
        </w:rPr>
        <w:t xml:space="preserve">. 309–310]. Не удивительно, что представления о союзной форме правления в среде немецких юристов соответствовали доминирующей со времен Бисмарка теории, согласно которой рейх являлся правовым объединением субъектов, основанным на принципе разделения полномочий. Лишь он обладал суверенитетом, тогда как земли участвовали в формировании государственной воли. </w:t>
      </w:r>
    </w:p>
    <w:p w:rsidR="00D56CD2" w:rsidRPr="00C62CBC" w:rsidRDefault="00D56CD2" w:rsidP="00D56CD2">
      <w:pPr>
        <w:pStyle w:val="a3"/>
        <w:pBdr>
          <w:bottom w:val="none" w:sz="0" w:space="0" w:color="auto"/>
        </w:pBdr>
        <w:spacing w:line="360" w:lineRule="exact"/>
        <w:ind w:left="-180" w:right="-187"/>
        <w:jc w:val="center"/>
        <w:rPr>
          <w:sz w:val="26"/>
          <w:szCs w:val="26"/>
        </w:rPr>
      </w:pPr>
    </w:p>
    <w:p w:rsidR="00D56CD2" w:rsidRPr="00C62CBC" w:rsidRDefault="00D56CD2" w:rsidP="00D56CD2">
      <w:pPr>
        <w:pStyle w:val="a3"/>
        <w:pBdr>
          <w:bottom w:val="none" w:sz="0" w:space="0" w:color="auto"/>
        </w:pBdr>
        <w:spacing w:line="360" w:lineRule="exact"/>
        <w:ind w:left="-180" w:right="-187"/>
        <w:jc w:val="center"/>
        <w:rPr>
          <w:i/>
          <w:sz w:val="26"/>
          <w:szCs w:val="26"/>
        </w:rPr>
      </w:pPr>
      <w:r w:rsidRPr="00C23067">
        <w:rPr>
          <w:sz w:val="26"/>
          <w:szCs w:val="26"/>
        </w:rPr>
        <w:t>Литература</w:t>
      </w:r>
    </w:p>
    <w:p w:rsidR="00D56CD2" w:rsidRPr="00C62CBC" w:rsidRDefault="00D56CD2" w:rsidP="00D56CD2">
      <w:pPr>
        <w:pStyle w:val="a3"/>
        <w:pBdr>
          <w:bottom w:val="none" w:sz="0" w:space="0" w:color="auto"/>
        </w:pBdr>
        <w:spacing w:line="360" w:lineRule="exact"/>
        <w:ind w:left="-180" w:right="-187"/>
        <w:rPr>
          <w:sz w:val="26"/>
          <w:szCs w:val="26"/>
          <w:lang w:val="de-DE"/>
        </w:rPr>
      </w:pP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>Boldt</w:t>
      </w:r>
      <w:r w:rsidR="00C23067">
        <w:rPr>
          <w:sz w:val="26"/>
          <w:szCs w:val="26"/>
          <w:lang w:val="de-DE"/>
        </w:rPr>
        <w:t>,</w:t>
      </w:r>
      <w:r w:rsidRPr="00C62CBC">
        <w:rPr>
          <w:sz w:val="26"/>
          <w:szCs w:val="26"/>
          <w:lang w:val="de-DE"/>
        </w:rPr>
        <w:t xml:space="preserve"> H. Die Stellung von Parlament und Parteien in der Weimarer Reichsverfassung. Verfassungstheorie und Verfassungswirklichkeit // Demokratie in der Krise. Parteien im Verfassungssystem der Weimarer Republik; hrsg. von E. Kolb und W</w:t>
      </w:r>
      <w:r w:rsidR="00C23067">
        <w:rPr>
          <w:sz w:val="26"/>
          <w:szCs w:val="26"/>
          <w:lang w:val="de-DE"/>
        </w:rPr>
        <w:t xml:space="preserve">. Mühlhausen. – München, 1997. </w:t>
      </w:r>
      <w:r w:rsidRPr="00C62CBC">
        <w:rPr>
          <w:sz w:val="26"/>
          <w:szCs w:val="26"/>
          <w:lang w:val="de-DE"/>
        </w:rPr>
        <w:t>– S. 19–58.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>Anschütz</w:t>
      </w:r>
      <w:r w:rsidR="00C23067">
        <w:rPr>
          <w:sz w:val="26"/>
          <w:szCs w:val="26"/>
          <w:lang w:val="de-DE"/>
        </w:rPr>
        <w:t>,</w:t>
      </w:r>
      <w:r w:rsidRPr="00C62CBC">
        <w:rPr>
          <w:sz w:val="26"/>
          <w:szCs w:val="26"/>
          <w:lang w:val="de-DE"/>
        </w:rPr>
        <w:t xml:space="preserve"> G. Die Verfassung des Deutschen Reichs vom 11. August 1919. </w:t>
      </w:r>
      <w:r w:rsidRPr="00C62CBC">
        <w:rPr>
          <w:i/>
          <w:sz w:val="26"/>
          <w:szCs w:val="26"/>
          <w:lang w:val="de-DE"/>
        </w:rPr>
        <w:t>Ein Kommentar für Wissenschaft und Praxis</w:t>
      </w:r>
      <w:r w:rsidRPr="00C62CBC">
        <w:rPr>
          <w:sz w:val="26"/>
          <w:szCs w:val="26"/>
          <w:lang w:val="de-DE"/>
        </w:rPr>
        <w:t xml:space="preserve">. – 13. Aufl. – Berlin, 1930. – 678 S. 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 xml:space="preserve">Die Preußische Verfassung vom 30. November 1920. Kommentar für Studium und Praxis; bearb. von F. Giese und E. Volkmann. – 2., neub. Aufl. – Berlin, 1926. – 305 S. 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>Stier-Somlo</w:t>
      </w:r>
      <w:r w:rsidR="00C23067">
        <w:rPr>
          <w:sz w:val="26"/>
          <w:szCs w:val="26"/>
          <w:lang w:val="de-DE"/>
        </w:rPr>
        <w:t>,</w:t>
      </w:r>
      <w:r w:rsidRPr="00C62CBC">
        <w:rPr>
          <w:sz w:val="26"/>
          <w:szCs w:val="26"/>
          <w:lang w:val="de-DE"/>
        </w:rPr>
        <w:t xml:space="preserve"> F. Deutsches Reichs- und Landesstaatsrecht. – Bd. I. – Berlin/Leipzig, 1924. – 726 S. 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>Jacobi</w:t>
      </w:r>
      <w:r w:rsidR="00C23067">
        <w:rPr>
          <w:sz w:val="26"/>
          <w:szCs w:val="26"/>
          <w:lang w:val="de-DE"/>
        </w:rPr>
        <w:t>,</w:t>
      </w:r>
      <w:r w:rsidRPr="00C62CBC">
        <w:rPr>
          <w:sz w:val="26"/>
          <w:szCs w:val="26"/>
          <w:lang w:val="de-DE"/>
        </w:rPr>
        <w:t xml:space="preserve"> E. Einheitsstaat oder Bundesstaat. – Leipzig, 1919. – 39 S. 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>Wittmayer</w:t>
      </w:r>
      <w:r w:rsidR="00C23067">
        <w:rPr>
          <w:sz w:val="26"/>
          <w:szCs w:val="26"/>
          <w:lang w:val="de-DE"/>
        </w:rPr>
        <w:t>,</w:t>
      </w:r>
      <w:r w:rsidRPr="00C62CBC">
        <w:rPr>
          <w:sz w:val="26"/>
          <w:szCs w:val="26"/>
          <w:lang w:val="de-DE"/>
        </w:rPr>
        <w:t xml:space="preserve"> L. Die Weimarer Reichsverfassung. – Tübingen, 1922. – 479 S. 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>Poetzsch-Heffter</w:t>
      </w:r>
      <w:r w:rsidR="00C23067">
        <w:rPr>
          <w:sz w:val="26"/>
          <w:szCs w:val="26"/>
          <w:lang w:val="de-DE"/>
        </w:rPr>
        <w:t>,</w:t>
      </w:r>
      <w:r w:rsidRPr="00C62CBC">
        <w:rPr>
          <w:sz w:val="26"/>
          <w:szCs w:val="26"/>
          <w:lang w:val="de-DE"/>
        </w:rPr>
        <w:t xml:space="preserve"> F. Handkommentar der Reichsverfassung vom 11. August 1919. – 3., völlig neubearb. und stark verm. Aufl. – Berlin, 1928. – 518 S. 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>Holste</w:t>
      </w:r>
      <w:r w:rsidR="00C23067">
        <w:rPr>
          <w:sz w:val="26"/>
          <w:szCs w:val="26"/>
          <w:lang w:val="de-DE"/>
        </w:rPr>
        <w:t>,</w:t>
      </w:r>
      <w:r w:rsidRPr="00C62CBC">
        <w:rPr>
          <w:sz w:val="26"/>
          <w:szCs w:val="26"/>
          <w:lang w:val="de-DE"/>
        </w:rPr>
        <w:t xml:space="preserve"> H. Der deutsche Bundesstaat im Wandel (1867–1933). Berlin, 2002. – 580 S. 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>Jellinek</w:t>
      </w:r>
      <w:r w:rsidR="00C23067">
        <w:rPr>
          <w:sz w:val="26"/>
          <w:szCs w:val="26"/>
          <w:lang w:val="de-DE"/>
        </w:rPr>
        <w:t>,</w:t>
      </w:r>
      <w:r w:rsidRPr="00C62CBC">
        <w:rPr>
          <w:sz w:val="26"/>
          <w:szCs w:val="26"/>
          <w:lang w:val="de-DE"/>
        </w:rPr>
        <w:t xml:space="preserve"> G. Allegemeine Staatslehre. – 3. durchges. und erg. Aufl. – Berlin, 1921. – 837 S. 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 xml:space="preserve">Elleser K. Die Verfassungsautonomie der deutschen Länder und ihre reichsrechtlichen Beschränkungen: Univ., Diss. – Heidelberg, 1928. – 47 S. 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>Nawiasky</w:t>
      </w:r>
      <w:r w:rsidR="00C23067">
        <w:rPr>
          <w:sz w:val="26"/>
          <w:szCs w:val="26"/>
          <w:lang w:val="de-DE"/>
        </w:rPr>
        <w:t>,</w:t>
      </w:r>
      <w:r w:rsidRPr="00C62CBC">
        <w:rPr>
          <w:sz w:val="26"/>
          <w:szCs w:val="26"/>
          <w:lang w:val="de-DE"/>
        </w:rPr>
        <w:t xml:space="preserve"> H. Der Bundesstaat als Rechtsbegriff. – Tübingen, 1920. – 254 S. 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>Hatschek</w:t>
      </w:r>
      <w:r w:rsidR="00C23067">
        <w:rPr>
          <w:sz w:val="26"/>
          <w:szCs w:val="26"/>
          <w:lang w:val="de-DE"/>
        </w:rPr>
        <w:t>,</w:t>
      </w:r>
      <w:r w:rsidRPr="00C62CBC">
        <w:rPr>
          <w:sz w:val="26"/>
          <w:szCs w:val="26"/>
          <w:lang w:val="de-DE"/>
        </w:rPr>
        <w:t xml:space="preserve"> J. Das Reichsstaatsrecht. – Berlin, 1923. – 499 S. 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>Schmitt</w:t>
      </w:r>
      <w:r w:rsidR="00C23067">
        <w:rPr>
          <w:sz w:val="26"/>
          <w:szCs w:val="26"/>
          <w:lang w:val="de-DE"/>
        </w:rPr>
        <w:t>,</w:t>
      </w:r>
      <w:r w:rsidRPr="00C62CBC">
        <w:rPr>
          <w:sz w:val="26"/>
          <w:szCs w:val="26"/>
          <w:lang w:val="de-DE"/>
        </w:rPr>
        <w:t xml:space="preserve"> C. Verfassungslehre. – München [u.a.], 1928. – 404 S. 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>Vetter</w:t>
      </w:r>
      <w:r w:rsidR="00C23067">
        <w:rPr>
          <w:sz w:val="26"/>
          <w:szCs w:val="26"/>
          <w:lang w:val="de-DE"/>
        </w:rPr>
        <w:t>,</w:t>
      </w:r>
      <w:r w:rsidRPr="00C62CBC">
        <w:rPr>
          <w:sz w:val="26"/>
          <w:szCs w:val="26"/>
          <w:lang w:val="de-DE"/>
        </w:rPr>
        <w:t xml:space="preserve"> J. Die Bundesstaatlichkeit in der Rechtsprechung des Staatsgerichtshofs der </w:t>
      </w:r>
      <w:r w:rsidRPr="00C62CBC">
        <w:rPr>
          <w:sz w:val="26"/>
          <w:szCs w:val="26"/>
          <w:lang w:val="de-DE"/>
        </w:rPr>
        <w:lastRenderedPageBreak/>
        <w:t xml:space="preserve">Weimarer Republik. – Baden-Baden, 1979. – 181 S. 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>Handbuch des Deutschen Staatsrechts: in 2 Bd; hrsg. von G. Anschütz u R. Thoma. – Tübingen, 1930. – Bd. 1. – 708 S.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>Bühler</w:t>
      </w:r>
      <w:r w:rsidR="00C23067">
        <w:rPr>
          <w:sz w:val="26"/>
          <w:szCs w:val="26"/>
          <w:lang w:val="de-DE"/>
        </w:rPr>
        <w:t>,</w:t>
      </w:r>
      <w:r w:rsidRPr="00C62CBC">
        <w:rPr>
          <w:sz w:val="26"/>
          <w:szCs w:val="26"/>
          <w:lang w:val="de-DE"/>
        </w:rPr>
        <w:t xml:space="preserve"> O. Die Reichverfassung vom 11 August 1919. – 3. Aufl. – Leipzig [u.a.], 1929. – 190 S. 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>Oeter</w:t>
      </w:r>
      <w:r w:rsidR="00C23067">
        <w:rPr>
          <w:sz w:val="26"/>
          <w:szCs w:val="26"/>
          <w:lang w:val="de-DE"/>
        </w:rPr>
        <w:t>,</w:t>
      </w:r>
      <w:r w:rsidRPr="00C62CBC">
        <w:rPr>
          <w:sz w:val="26"/>
          <w:szCs w:val="26"/>
          <w:lang w:val="de-DE"/>
        </w:rPr>
        <w:t xml:space="preserve"> S. Integration und Subsidiarität im deutschen Bundesstaatsrecht. Untersuchungen zur Bundesstaatstheorie unter dem Grundgesetz. – Tübingen, 1998. – 655 S. 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>Nawiasky</w:t>
      </w:r>
      <w:r w:rsidR="00C23067">
        <w:rPr>
          <w:sz w:val="26"/>
          <w:szCs w:val="26"/>
          <w:lang w:val="de-DE"/>
        </w:rPr>
        <w:t>,</w:t>
      </w:r>
      <w:r w:rsidRPr="00C62CBC">
        <w:rPr>
          <w:sz w:val="26"/>
          <w:szCs w:val="26"/>
          <w:lang w:val="de-DE"/>
        </w:rPr>
        <w:t xml:space="preserve"> H. Der Bundesstaat als Rechtsbegriff. – Tübingen, 1920. – 115 S. 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>Kelsen</w:t>
      </w:r>
      <w:r w:rsidR="00C23067">
        <w:rPr>
          <w:sz w:val="26"/>
          <w:szCs w:val="26"/>
          <w:lang w:val="de-DE"/>
        </w:rPr>
        <w:t>,</w:t>
      </w:r>
      <w:r w:rsidRPr="00C62CBC">
        <w:rPr>
          <w:sz w:val="26"/>
          <w:szCs w:val="26"/>
          <w:lang w:val="de-DE"/>
        </w:rPr>
        <w:t xml:space="preserve"> H. Allgemeine Staatslehre. – Belin, 1925. – 433 S. 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>Robbers</w:t>
      </w:r>
      <w:r w:rsidR="00C23067">
        <w:rPr>
          <w:sz w:val="26"/>
          <w:szCs w:val="26"/>
          <w:lang w:val="de-DE"/>
        </w:rPr>
        <w:t>,</w:t>
      </w:r>
      <w:r w:rsidRPr="00C62CBC">
        <w:rPr>
          <w:sz w:val="26"/>
          <w:szCs w:val="26"/>
          <w:lang w:val="de-DE"/>
        </w:rPr>
        <w:t xml:space="preserve"> G. Die Begründung des Rechts in der Weimarer Republik // Widerstand und Verteidigung des Rechts; hrsg. von G. Ringshausen und R. von Voss. – Bonn, 1997. – S. 147–157. 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>Smend</w:t>
      </w:r>
      <w:r w:rsidR="00C23067">
        <w:rPr>
          <w:sz w:val="26"/>
          <w:szCs w:val="26"/>
          <w:lang w:val="de-DE"/>
        </w:rPr>
        <w:t>,</w:t>
      </w:r>
      <w:r w:rsidRPr="00C62CBC">
        <w:rPr>
          <w:sz w:val="26"/>
          <w:szCs w:val="26"/>
          <w:lang w:val="de-DE"/>
        </w:rPr>
        <w:t xml:space="preserve"> R. Verfassung und Verfassungsrecht. – München [u.a.], 1928. – 178 S.  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>Smend</w:t>
      </w:r>
      <w:r w:rsidR="00C23067">
        <w:rPr>
          <w:sz w:val="26"/>
          <w:szCs w:val="26"/>
          <w:lang w:val="de-DE"/>
        </w:rPr>
        <w:t>,</w:t>
      </w:r>
      <w:r w:rsidRPr="00C62CBC">
        <w:rPr>
          <w:sz w:val="26"/>
          <w:szCs w:val="26"/>
          <w:lang w:val="de-DE"/>
        </w:rPr>
        <w:t xml:space="preserve"> R. Die politische Gewalt im Verfassungsstaat und das Problem der Staatsform // Staatsrechtliche Abhandlungen und andere Aufsätze. – Berlin, 1955. – S. 68–88.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>Ladeur</w:t>
      </w:r>
      <w:r w:rsidR="00C23067">
        <w:rPr>
          <w:sz w:val="26"/>
          <w:szCs w:val="26"/>
          <w:lang w:val="de-DE"/>
        </w:rPr>
        <w:t>,</w:t>
      </w:r>
      <w:r w:rsidRPr="00C62CBC">
        <w:rPr>
          <w:sz w:val="26"/>
          <w:szCs w:val="26"/>
          <w:lang w:val="de-DE"/>
        </w:rPr>
        <w:t xml:space="preserve"> K.-H. Postmoderne Verfassungstheorie // Zum Begriff der Verfassung.; hrsg. von U.K. Preuß. – Frankfurt am Main, 1994. – S. 304–331. 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>Schmitt</w:t>
      </w:r>
      <w:r w:rsidR="00C23067">
        <w:rPr>
          <w:sz w:val="26"/>
          <w:szCs w:val="26"/>
          <w:lang w:val="de-DE"/>
        </w:rPr>
        <w:t>,</w:t>
      </w:r>
      <w:r w:rsidRPr="00C62CBC">
        <w:rPr>
          <w:sz w:val="26"/>
          <w:szCs w:val="26"/>
          <w:lang w:val="de-DE"/>
        </w:rPr>
        <w:t xml:space="preserve"> C. Der Hüter der Verfassung / C. Schmitt. – AöR. – 16 (1929). – S. 161–237. 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>Koellreutter</w:t>
      </w:r>
      <w:r w:rsidR="00C23067">
        <w:rPr>
          <w:sz w:val="26"/>
          <w:szCs w:val="26"/>
          <w:lang w:val="de-DE"/>
        </w:rPr>
        <w:t>,</w:t>
      </w:r>
      <w:r w:rsidRPr="00C62CBC">
        <w:rPr>
          <w:sz w:val="26"/>
          <w:szCs w:val="26"/>
          <w:lang w:val="de-DE"/>
        </w:rPr>
        <w:t xml:space="preserve"> O. Integrationslehre und Reichsreform. – Tübingen, 1929. – 28 S. </w:t>
      </w:r>
    </w:p>
    <w:p w:rsidR="00D56CD2" w:rsidRPr="00C62CBC" w:rsidRDefault="00D56CD2" w:rsidP="00D56CD2">
      <w:pPr>
        <w:pStyle w:val="a3"/>
        <w:numPr>
          <w:ilvl w:val="0"/>
          <w:numId w:val="1"/>
        </w:numPr>
        <w:pBdr>
          <w:bottom w:val="none" w:sz="0" w:space="0" w:color="auto"/>
        </w:pBdr>
        <w:tabs>
          <w:tab w:val="clear" w:pos="1260"/>
          <w:tab w:val="num" w:pos="540"/>
        </w:tabs>
        <w:ind w:left="540" w:right="-187" w:hanging="540"/>
        <w:rPr>
          <w:sz w:val="26"/>
          <w:szCs w:val="26"/>
          <w:lang w:val="de-DE"/>
        </w:rPr>
      </w:pPr>
      <w:r w:rsidRPr="00C62CBC">
        <w:rPr>
          <w:sz w:val="26"/>
          <w:szCs w:val="26"/>
          <w:lang w:val="de-DE"/>
        </w:rPr>
        <w:t>Grimm</w:t>
      </w:r>
      <w:r w:rsidR="00C23067">
        <w:rPr>
          <w:sz w:val="26"/>
          <w:szCs w:val="26"/>
          <w:lang w:val="de-DE"/>
        </w:rPr>
        <w:t>,</w:t>
      </w:r>
      <w:r w:rsidRPr="00C62CBC">
        <w:rPr>
          <w:sz w:val="26"/>
          <w:szCs w:val="26"/>
          <w:lang w:val="de-DE"/>
        </w:rPr>
        <w:t xml:space="preserve"> D. Die Bedeutung der Weimarer Verfassung in der deutschen Verfassungsgeschichte. – Heidelberg, 1990. – 36 S. </w:t>
      </w:r>
    </w:p>
    <w:p w:rsidR="00D56CD2" w:rsidRPr="00C62CBC" w:rsidRDefault="00D56CD2" w:rsidP="00D56CD2">
      <w:pPr>
        <w:pStyle w:val="a3"/>
        <w:pBdr>
          <w:bottom w:val="none" w:sz="0" w:space="0" w:color="auto"/>
        </w:pBdr>
        <w:ind w:left="900" w:right="-187" w:firstLine="0"/>
        <w:rPr>
          <w:sz w:val="26"/>
          <w:szCs w:val="26"/>
          <w:lang w:val="de-DE"/>
        </w:rPr>
      </w:pPr>
    </w:p>
    <w:p w:rsidR="00D56CD2" w:rsidRPr="00C62CBC" w:rsidRDefault="00D56CD2" w:rsidP="00D56CD2">
      <w:pPr>
        <w:jc w:val="both"/>
        <w:rPr>
          <w:sz w:val="26"/>
          <w:szCs w:val="26"/>
          <w:lang w:val="de-DE"/>
        </w:rPr>
      </w:pPr>
    </w:p>
    <w:p w:rsidR="0043403A" w:rsidRDefault="0043403A">
      <w:pPr>
        <w:rPr>
          <w:lang w:val="de-DE"/>
        </w:rPr>
      </w:pPr>
    </w:p>
    <w:p w:rsidR="00003450" w:rsidRPr="0078003C" w:rsidRDefault="00003450" w:rsidP="00003450">
      <w:pPr>
        <w:jc w:val="both"/>
        <w:rPr>
          <w:b/>
          <w:sz w:val="24"/>
          <w:szCs w:val="24"/>
        </w:rPr>
      </w:pPr>
      <w:r w:rsidRPr="0078003C">
        <w:rPr>
          <w:b/>
          <w:sz w:val="24"/>
          <w:szCs w:val="24"/>
        </w:rPr>
        <w:t xml:space="preserve">Источник: </w:t>
      </w:r>
      <w:r w:rsidRPr="0078003C">
        <w:rPr>
          <w:b/>
          <w:sz w:val="24"/>
          <w:szCs w:val="24"/>
          <w:lang w:val="be-BY"/>
        </w:rPr>
        <w:t xml:space="preserve">Субботин, О.Г. </w:t>
      </w:r>
      <w:r w:rsidRPr="0078003C">
        <w:rPr>
          <w:b/>
          <w:sz w:val="24"/>
          <w:szCs w:val="24"/>
        </w:rPr>
        <w:t xml:space="preserve">Тенденции и направления развития теории федеративного государства в Германии (1920-е гг.) </w:t>
      </w:r>
      <w:r w:rsidRPr="0078003C">
        <w:rPr>
          <w:b/>
          <w:sz w:val="24"/>
          <w:szCs w:val="24"/>
          <w:lang w:val="be-BY"/>
        </w:rPr>
        <w:t>/ О.Г. Субботин</w:t>
      </w:r>
      <w:r w:rsidRPr="0078003C">
        <w:rPr>
          <w:b/>
          <w:sz w:val="24"/>
          <w:szCs w:val="24"/>
        </w:rPr>
        <w:t xml:space="preserve"> // Актуальные проблемы в изучении и преподавании общественно-гуманитарных наук (дисциплин) : материалы </w:t>
      </w:r>
      <w:r w:rsidRPr="0078003C">
        <w:rPr>
          <w:b/>
          <w:sz w:val="24"/>
          <w:szCs w:val="24"/>
          <w:lang w:val="de-DE"/>
        </w:rPr>
        <w:t>II</w:t>
      </w:r>
      <w:r w:rsidRPr="0078003C">
        <w:rPr>
          <w:b/>
          <w:sz w:val="24"/>
          <w:szCs w:val="24"/>
        </w:rPr>
        <w:t xml:space="preserve"> (Второй) Междунар. науч. конф., Витебск, 1–2 декабря 2011 г. – Витебск : ВФ УО ФПБ «Международный универс</w:t>
      </w:r>
      <w:bookmarkStart w:id="0" w:name="_GoBack"/>
      <w:bookmarkEnd w:id="0"/>
      <w:r w:rsidRPr="0078003C">
        <w:rPr>
          <w:b/>
          <w:sz w:val="24"/>
          <w:szCs w:val="24"/>
        </w:rPr>
        <w:t>итет «МИТСО», 2011. – С. 417–420.</w:t>
      </w:r>
    </w:p>
    <w:sectPr w:rsidR="00003450" w:rsidRPr="0078003C" w:rsidSect="00AB6D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2BC" w:rsidRDefault="004B72BC">
      <w:r>
        <w:separator/>
      </w:r>
    </w:p>
  </w:endnote>
  <w:endnote w:type="continuationSeparator" w:id="1">
    <w:p w:rsidR="004B72BC" w:rsidRDefault="004B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8EC" w:rsidRDefault="00443FD1" w:rsidP="00AB6DE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5754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38EC" w:rsidRDefault="004B72BC" w:rsidP="00AB6DE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8EC" w:rsidRDefault="00443FD1" w:rsidP="00AB6DE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5754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0D93">
      <w:rPr>
        <w:rStyle w:val="a7"/>
        <w:noProof/>
      </w:rPr>
      <w:t>7</w:t>
    </w:r>
    <w:r>
      <w:rPr>
        <w:rStyle w:val="a7"/>
      </w:rPr>
      <w:fldChar w:fldCharType="end"/>
    </w:r>
  </w:p>
  <w:p w:rsidR="009438EC" w:rsidRDefault="004B72BC" w:rsidP="00AB6DEC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93" w:rsidRDefault="004B0D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2BC" w:rsidRDefault="004B72BC">
      <w:r>
        <w:separator/>
      </w:r>
    </w:p>
  </w:footnote>
  <w:footnote w:type="continuationSeparator" w:id="1">
    <w:p w:rsidR="004B72BC" w:rsidRDefault="004B7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93" w:rsidRDefault="004B0D93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767" o:spid="_x0000_s2050" type="#_x0000_t136" style="position:absolute;margin-left:0;margin-top:0;width:586.2pt;height:73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93" w:rsidRDefault="004B0D93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768" o:spid="_x0000_s2051" type="#_x0000_t136" style="position:absolute;margin-left:0;margin-top:0;width:586.2pt;height:73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93" w:rsidRDefault="004B0D93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766" o:spid="_x0000_s2049" type="#_x0000_t136" style="position:absolute;margin-left:0;margin-top:0;width:586.2pt;height:73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F560A"/>
    <w:multiLevelType w:val="hybridMultilevel"/>
    <w:tmpl w:val="F76EC0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D56CD2"/>
    <w:rsid w:val="00003450"/>
    <w:rsid w:val="00036BE8"/>
    <w:rsid w:val="002C75E1"/>
    <w:rsid w:val="0043403A"/>
    <w:rsid w:val="00443FD1"/>
    <w:rsid w:val="004534E2"/>
    <w:rsid w:val="004B0D93"/>
    <w:rsid w:val="004B72BC"/>
    <w:rsid w:val="00657548"/>
    <w:rsid w:val="0078003C"/>
    <w:rsid w:val="00BF067A"/>
    <w:rsid w:val="00C23067"/>
    <w:rsid w:val="00D56CD2"/>
    <w:rsid w:val="00FE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6CD2"/>
    <w:pPr>
      <w:widowControl w:val="0"/>
      <w:pBdr>
        <w:bottom w:val="single" w:sz="6" w:space="20" w:color="auto"/>
      </w:pBdr>
      <w:ind w:right="-1283"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56C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56CD2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D56C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page number"/>
    <w:basedOn w:val="a0"/>
    <w:rsid w:val="00D56CD2"/>
  </w:style>
  <w:style w:type="paragraph" w:styleId="a8">
    <w:name w:val="footer"/>
    <w:basedOn w:val="a"/>
    <w:link w:val="a9"/>
    <w:rsid w:val="00D56C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D56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B0D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B0D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6CD2"/>
    <w:pPr>
      <w:widowControl w:val="0"/>
      <w:pBdr>
        <w:bottom w:val="single" w:sz="6" w:space="20" w:color="auto"/>
      </w:pBdr>
      <w:ind w:right="-1283"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56C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56CD2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D56C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page number"/>
    <w:basedOn w:val="a0"/>
    <w:rsid w:val="00D56CD2"/>
  </w:style>
  <w:style w:type="paragraph" w:styleId="a8">
    <w:name w:val="footer"/>
    <w:basedOn w:val="a"/>
    <w:link w:val="a9"/>
    <w:rsid w:val="00D56C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D56C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SHU_VIRTUAL</cp:lastModifiedBy>
  <cp:revision>8</cp:revision>
  <dcterms:created xsi:type="dcterms:W3CDTF">2015-04-04T10:19:00Z</dcterms:created>
  <dcterms:modified xsi:type="dcterms:W3CDTF">2015-04-04T11:51:00Z</dcterms:modified>
</cp:coreProperties>
</file>