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4A" w:rsidRDefault="00CC0AC5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УДК 94 (476) «18»</w:t>
      </w:r>
    </w:p>
    <w:p w:rsidR="00F15F4A" w:rsidRDefault="00CC0AC5">
      <w:pPr>
        <w:pStyle w:val="a9"/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РОЛЬ ДВИНСКИХ ПРИСТАНЕЙ В СТРУКТУРЕ ГРУЗООБОРОТА ВИТЕБСКОЙ ГУБЕРНИИ В СЕРЕДИНЕ XIX В.</w:t>
      </w:r>
    </w:p>
    <w:p w:rsidR="00F15F4A" w:rsidRDefault="00CC0AC5">
      <w:pPr>
        <w:pStyle w:val="a9"/>
        <w:spacing w:line="360" w:lineRule="auto"/>
        <w:jc w:val="right"/>
      </w:pPr>
      <w:r>
        <w:rPr>
          <w:rFonts w:ascii="Times New Roman" w:hAnsi="Times New Roman" w:cs="Times New Roman"/>
          <w:i/>
          <w:iCs/>
          <w:sz w:val="28"/>
          <w:szCs w:val="28"/>
        </w:rPr>
        <w:t>А.В. Конойко, Е. Кринчик</w:t>
      </w:r>
    </w:p>
    <w:p w:rsidR="00F15F4A" w:rsidRDefault="00F15F4A">
      <w:pPr>
        <w:pStyle w:val="a9"/>
        <w:spacing w:line="360" w:lineRule="auto"/>
        <w:jc w:val="right"/>
      </w:pPr>
    </w:p>
    <w:p w:rsidR="00F15F4A" w:rsidRDefault="00CC0AC5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Развитие водных транспорных коммуникаций Витебщины в середине XIX в., было обусловлено интенсификацией промышленного освоения региона в связи с распространением товарно-денежных отношений и появлением железнодорожного транспорта. С одной стороны, как следствие, увеличение грузопотока по водным артериям, с другой — альтернативой выступали железнодорожные магистрали. Тем не менее в указанном регионе доминировал грузооборот водными путями сообщений, где важное место занимали пристани по реке Двина. Условно их можно разделить на универсальные и специализированные. Первые — это верховые (Бельская на Обше и Поречьская на Каспле) в восточной части региона, им принадлежало 2/3 всего сплава, а судоходство продолжалось только в период весенне-осеннего половодья. К специализированным можно отнести все остальные, исключая Витебскую </w:t>
      </w:r>
      <w:r>
        <w:rPr>
          <w:rFonts w:ascii="Times New Roman" w:hAnsi="Times New Roman" w:cs="Times New Roman"/>
          <w:color w:val="000000"/>
          <w:sz w:val="28"/>
          <w:szCs w:val="28"/>
        </w:rPr>
        <w:t>[1; с.3].</w:t>
      </w:r>
    </w:p>
    <w:p w:rsidR="00F15F4A" w:rsidRDefault="00CC0AC5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Транзитные грузы отправлялись преимущественно с верховых пристаней. Большую часть его стягивали к Бельской пристани, которая занимала первое место по объему грузооборота. Основной товар, который сплавлялся был хлеб. За 1859 – 1868 </w:t>
      </w:r>
      <w:r w:rsidR="009D6D64">
        <w:rPr>
          <w:rFonts w:ascii="Times New Roman" w:hAnsi="Times New Roman" w:cs="Times New Roman"/>
          <w:sz w:val="28"/>
          <w:szCs w:val="28"/>
        </w:rPr>
        <w:t xml:space="preserve">гг. </w:t>
      </w:r>
      <w:r>
        <w:rPr>
          <w:rFonts w:ascii="Times New Roman" w:hAnsi="Times New Roman" w:cs="Times New Roman"/>
          <w:sz w:val="28"/>
          <w:szCs w:val="28"/>
        </w:rPr>
        <w:t xml:space="preserve">с нее было отправлено (в тыс. пудов): </w:t>
      </w:r>
    </w:p>
    <w:p w:rsidR="00F15F4A" w:rsidRDefault="00CC0AC5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Таблица 1 - Грузооборот Бельской пристани (1859 — 1868 гг.)</w:t>
      </w:r>
    </w:p>
    <w:p w:rsidR="00F15F4A" w:rsidRDefault="00F15F4A">
      <w:pPr>
        <w:pStyle w:val="a9"/>
        <w:spacing w:line="360" w:lineRule="auto"/>
        <w:jc w:val="both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572"/>
        <w:gridCol w:w="2247"/>
        <w:gridCol w:w="1213"/>
        <w:gridCol w:w="1348"/>
        <w:gridCol w:w="1243"/>
        <w:gridCol w:w="1093"/>
        <w:gridCol w:w="941"/>
      </w:tblGrid>
      <w:tr w:rsidR="00F15F4A">
        <w:trPr>
          <w:cantSplit/>
        </w:trPr>
        <w:tc>
          <w:tcPr>
            <w:tcW w:w="1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Годы </w:t>
            </w:r>
          </w:p>
        </w:tc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Хлеб</w:t>
            </w:r>
          </w:p>
          <w:p w:rsidR="00F15F4A" w:rsidRDefault="00CC0AC5">
            <w:pPr>
              <w:pStyle w:val="a9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(овес, рожь, ячмень, пшеница)</w:t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Семена льна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Семена конопли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Пенька и пакля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Лён и куделя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F15F4A">
        <w:trPr>
          <w:cantSplit/>
        </w:trPr>
        <w:tc>
          <w:tcPr>
            <w:tcW w:w="15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1859 - 1861</w:t>
            </w:r>
          </w:p>
        </w:tc>
        <w:tc>
          <w:tcPr>
            <w:tcW w:w="2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2,037</w:t>
            </w:r>
          </w:p>
        </w:tc>
        <w:tc>
          <w:tcPr>
            <w:tcW w:w="1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1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2,955</w:t>
            </w:r>
          </w:p>
        </w:tc>
      </w:tr>
      <w:tr w:rsidR="00F15F4A">
        <w:trPr>
          <w:cantSplit/>
        </w:trPr>
        <w:tc>
          <w:tcPr>
            <w:tcW w:w="15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1862 - 1865</w:t>
            </w:r>
          </w:p>
        </w:tc>
        <w:tc>
          <w:tcPr>
            <w:tcW w:w="2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</w:p>
        </w:tc>
      </w:tr>
      <w:tr w:rsidR="00F15F4A">
        <w:trPr>
          <w:cantSplit/>
        </w:trPr>
        <w:tc>
          <w:tcPr>
            <w:tcW w:w="15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1866 - 1868</w:t>
            </w:r>
          </w:p>
        </w:tc>
        <w:tc>
          <w:tcPr>
            <w:tcW w:w="2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1,597</w:t>
            </w:r>
          </w:p>
        </w:tc>
        <w:tc>
          <w:tcPr>
            <w:tcW w:w="1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2,303</w:t>
            </w:r>
          </w:p>
        </w:tc>
      </w:tr>
    </w:tbl>
    <w:p w:rsidR="00F15F4A" w:rsidRDefault="00CC0AC5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5F4A" w:rsidRDefault="00CC0AC5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Таким образом, в среднем за десятилетие почти 2/3 грузов, которые отправлялись с Бельской пристани составлял хлеб (63%) и почти ¼ льняное семя (23%). Среди хлебных грузов можно выделить, что основным предметом сплава был овес, в среднем за десятилетие составлял 1015 тыс. пуд., или почти 4/5 всех грузов (78%). Средний сплав ржи 202 тыс. пуд. или 15%., ячменя 39 тыс. пуд. или 3%, остальная часть хлеба состояла преимущественно из пшеницы и гречневой крупы. Количество судов, которые грузились  на пристани в среднем за весь период составляло 206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[2; с.327].</w:t>
      </w:r>
    </w:p>
    <w:p w:rsidR="00F15F4A" w:rsidRDefault="00CC0AC5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Важное транспортное значение имела Поречьская пристань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Основным продуктом грузооборота здесь являлась пенька. От пристани за 1859 - 1868 гг, отправлено (в тыс. пуд.):</w:t>
      </w:r>
    </w:p>
    <w:p w:rsidR="00F15F4A" w:rsidRDefault="00CC0AC5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Таблица 2 — Грузооборот Поречьской пристани (1859 — 1861 гг.)</w:t>
      </w:r>
    </w:p>
    <w:p w:rsidR="00F15F4A" w:rsidRDefault="00F15F4A">
      <w:pPr>
        <w:pStyle w:val="a9"/>
        <w:spacing w:line="360" w:lineRule="auto"/>
        <w:jc w:val="both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662"/>
        <w:gridCol w:w="1783"/>
        <w:gridCol w:w="1213"/>
        <w:gridCol w:w="1305"/>
        <w:gridCol w:w="1363"/>
        <w:gridCol w:w="1334"/>
        <w:gridCol w:w="953"/>
      </w:tblGrid>
      <w:tr w:rsidR="00F15F4A">
        <w:trPr>
          <w:cantSplit/>
        </w:trPr>
        <w:tc>
          <w:tcPr>
            <w:tcW w:w="1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Годы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Хлеб    (овес, рожь, ячмень, пшеница)</w:t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Семена льна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Семена конопли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Масло конопли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Пенька и пакля</w:t>
            </w: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F15F4A">
        <w:trPr>
          <w:cantSplit/>
        </w:trPr>
        <w:tc>
          <w:tcPr>
            <w:tcW w:w="16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1859 - 1861</w:t>
            </w:r>
          </w:p>
        </w:tc>
        <w:tc>
          <w:tcPr>
            <w:tcW w:w="17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1,125</w:t>
            </w:r>
          </w:p>
        </w:tc>
        <w:tc>
          <w:tcPr>
            <w:tcW w:w="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2,078</w:t>
            </w:r>
          </w:p>
        </w:tc>
      </w:tr>
      <w:tr w:rsidR="00F15F4A">
        <w:trPr>
          <w:cantSplit/>
        </w:trPr>
        <w:tc>
          <w:tcPr>
            <w:tcW w:w="16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1862 - 1865</w:t>
            </w:r>
          </w:p>
        </w:tc>
        <w:tc>
          <w:tcPr>
            <w:tcW w:w="17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1,565</w:t>
            </w:r>
          </w:p>
        </w:tc>
      </w:tr>
      <w:tr w:rsidR="00F15F4A">
        <w:trPr>
          <w:cantSplit/>
        </w:trPr>
        <w:tc>
          <w:tcPr>
            <w:tcW w:w="16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1866 - 1868</w:t>
            </w:r>
          </w:p>
        </w:tc>
        <w:tc>
          <w:tcPr>
            <w:tcW w:w="17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2,009</w:t>
            </w:r>
          </w:p>
        </w:tc>
      </w:tr>
    </w:tbl>
    <w:p w:rsidR="00F15F4A" w:rsidRDefault="00CC0AC5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5F4A" w:rsidRDefault="00CC0AC5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Из таблицы следует, что в среднем за десятилетие грузооборот продуктов пеньководства, льноводства и хлеба составлял 1854 тыс. пуд. Половину всего грузооборота (51%) занимала пенька, на долю хлеба приходилось почти ¼, на льняное семя – 12%. По  количеству грузившихся судов, пристань занимала второе место после Поречьской и составляла в среднем 170 за 1859 — 1868 гг. Известно, что в это время в практику входит страхование грузов, это было связано с развитием банковской сферы в белорусских губерниях [2;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с.328]. Известно, что в этот период в губернии функционируют различные торговые объединения и кредитные заведения, банки и сберегательные кассы. Так в 1874 г. начинает действовать Полоцкий уездный банк, а с 1882 г. губернский банк в Витебске [4; с.123]. К пристани </w:t>
      </w:r>
      <w:r>
        <w:rPr>
          <w:rFonts w:ascii="Times New Roman" w:hAnsi="Times New Roman" w:cs="Times New Roman"/>
          <w:sz w:val="28"/>
          <w:szCs w:val="28"/>
        </w:rPr>
        <w:t xml:space="preserve">следовали продукты из южной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Смоленской губернии и смежной полосы Могилёвской, из северных уездов Черниговской и из Орловской губернии, что было обусловленно выгодным географическим положением, а также наличием подъездных путей и хорошо развитой инфраструктуры. В сер. XIХ в. Витебская губерния постепенно входит  в общероссийский рынок и приобретает статус торгового посредника между центральными и южными губерниями Российской империи и Западной Европой [</w:t>
      </w:r>
      <w:r>
        <w:rPr>
          <w:rFonts w:ascii="Times New Roman" w:hAnsi="Times New Roman" w:cs="Times New Roman"/>
          <w:color w:val="000000"/>
          <w:sz w:val="28"/>
          <w:szCs w:val="28"/>
        </w:rPr>
        <w:t>3; с.32].</w:t>
      </w:r>
    </w:p>
    <w:p w:rsidR="00F15F4A" w:rsidRDefault="00CC0AC5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Важное транзитное и торговое значение занимал г. Витебск. С Витебской пристани отправлялся преимущественно хлеб и пенька. Витебская пристань служила связующим звеном между восточной и западной частями региона, так как от нее судоходство совершалось на протяжении всей весенне-осенней навигации. Весной от пристани отходили большие струги, а летом — плоскодонные лайбы. Пристань обслуживала округа Витебской и большую часть Могилёвской губернии [2; с.330].</w:t>
      </w:r>
    </w:p>
    <w:p w:rsidR="00F15F4A" w:rsidRDefault="00CC0AC5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Таблица 3 - Грузооборот Витебской пристани за 1859 — 1865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F4A" w:rsidRDefault="00F15F4A">
      <w:pPr>
        <w:pStyle w:val="a9"/>
        <w:spacing w:line="360" w:lineRule="auto"/>
        <w:jc w:val="both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647"/>
        <w:gridCol w:w="1753"/>
        <w:gridCol w:w="2022"/>
        <w:gridCol w:w="944"/>
        <w:gridCol w:w="1364"/>
        <w:gridCol w:w="1897"/>
      </w:tblGrid>
      <w:tr w:rsidR="00F15F4A">
        <w:trPr>
          <w:cantSplit/>
        </w:trPr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a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Годы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a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Хлеб</w:t>
            </w:r>
          </w:p>
        </w:tc>
        <w:tc>
          <w:tcPr>
            <w:tcW w:w="2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Семена льна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Лён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Пенька</w:t>
            </w:r>
          </w:p>
        </w:tc>
        <w:tc>
          <w:tcPr>
            <w:tcW w:w="1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(тыс. пуд.)</w:t>
            </w:r>
          </w:p>
        </w:tc>
      </w:tr>
      <w:tr w:rsidR="00F15F4A">
        <w:trPr>
          <w:cantSplit/>
        </w:trPr>
        <w:tc>
          <w:tcPr>
            <w:tcW w:w="16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a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1859 - 1861</w:t>
            </w:r>
          </w:p>
        </w:tc>
        <w:tc>
          <w:tcPr>
            <w:tcW w:w="1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a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488</w:t>
            </w:r>
          </w:p>
        </w:tc>
        <w:tc>
          <w:tcPr>
            <w:tcW w:w="2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a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a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3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a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8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9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</w:tr>
      <w:tr w:rsidR="00F15F4A">
        <w:trPr>
          <w:cantSplit/>
        </w:trPr>
        <w:tc>
          <w:tcPr>
            <w:tcW w:w="16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a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1862 - 1865</w:t>
            </w:r>
          </w:p>
        </w:tc>
        <w:tc>
          <w:tcPr>
            <w:tcW w:w="1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a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2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a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a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a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18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A" w:rsidRDefault="00CC0AC5">
            <w:pPr>
              <w:pStyle w:val="aa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736</w:t>
            </w:r>
          </w:p>
        </w:tc>
      </w:tr>
    </w:tbl>
    <w:p w:rsidR="00F15F4A" w:rsidRDefault="00F15F4A">
      <w:pPr>
        <w:pStyle w:val="a9"/>
        <w:spacing w:line="360" w:lineRule="auto"/>
        <w:jc w:val="both"/>
      </w:pPr>
    </w:p>
    <w:p w:rsidR="00F15F4A" w:rsidRDefault="00CC0AC5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Из таблицы следует, что грузооборот на пристани в отмеченый период уменьшился незначительно, несмотря на кризис в сельском хозяйстве вызванный отменой крепостного права. Витебская пристань продолжала выполнять функцию крупной транспортной артерии губернии вплоть до начала железнодорожного строительства и только в 1869 - 1872 гг. она постепенно  теряет свой вес в грузообороте. Так, из 886 тыс. пуд., составлявших общий итог грузооборота обоими путями (водным и железнодорожным), Двиной следовало 39,5%, основным продуктом сплава оставался хлеб и лес.</w:t>
      </w:r>
    </w:p>
    <w:p w:rsidR="00F15F4A" w:rsidRDefault="00CC0AC5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Сравнительно с другими пристанями, упадок Витебской менее значителен, вероятно, потому, что она служила также для внутренней хлебной торговли.</w:t>
      </w:r>
    </w:p>
    <w:p w:rsidR="00F15F4A" w:rsidRDefault="00CC0AC5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Что касается пристаней второй группы, то они были преимущественно незначительными, что вызвано большим их количеством в регионе и  достаточным развитием сухопутной транспортной инфраструктуры, что ускоряло подвоз грузов гужевым транспортом. Относительно крупными из этих пристаней считались: Велижская, Бешенковичская и Полоцкая – все три на самой Двине </w:t>
      </w:r>
      <w:r>
        <w:rPr>
          <w:rFonts w:ascii="Times New Roman" w:hAnsi="Times New Roman" w:cs="Times New Roman"/>
          <w:color w:val="000000"/>
          <w:sz w:val="28"/>
          <w:szCs w:val="28"/>
        </w:rPr>
        <w:t>[1; с.4].</w:t>
      </w:r>
    </w:p>
    <w:p w:rsidR="00F15F4A" w:rsidRDefault="00CC0AC5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От Велижской, Бешенковичской и Полоцкой пристаней, а также от Устья, которое служило пристанью для Торопца, кроме плоскодонных лайб, ходили большие струги, хотя в самом незначительном количестве (менее 10 от каждой пристани). В конце 60-х гг. струги оставались только в Велиже, а отправка из Устья прекратилась еще в нач. 60-х гг. XIX в. Судоходство от других пристаней совершалось только на лайбах.</w:t>
      </w:r>
    </w:p>
    <w:p w:rsidR="00F15F4A" w:rsidRDefault="00CC0AC5">
      <w:pPr>
        <w:pStyle w:val="a9"/>
        <w:spacing w:line="36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В 1859 — 1861 гг. от всех пристаней второй группы (Полоцкая, Велижская, Бешенковичская и др.) отправлялось, в среднем до 800 тыс. пуд. хлеба, 405 тыс. пуд. льняного семени и 330 тыс. пуд. льна. Таким образом, немногим более половины грузооборота составлял хлеб. От пристаней второй группы судоходство продолжалось даже на протяжении летнего периода на небольших лодках (лайбах).</w:t>
      </w:r>
    </w:p>
    <w:p w:rsidR="00F15F4A" w:rsidRDefault="00CC0AC5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Следствием быстрого развития товарно-денежных отношений, после отмены крепостного права, стал постепенный упадок грузооборота Двинских пристаней, так как они оказались не в силах соперничать с железнодорожным транспортом, который позволял с большей скоростью перевозить грузы, даже не смотря на то, что доставка водой обходилась купцам дешевле. Так, грузооборот всех выше перечисленных пристаней сократился почти в семь раз в сравнении с 1859 – 1861 гг., причем резко уменьшилось количество перевозимого хлеба, который был основным транспортируемым продуктом.</w:t>
      </w:r>
    </w:p>
    <w:p w:rsidR="00F15F4A" w:rsidRDefault="00F15F4A">
      <w:pPr>
        <w:pStyle w:val="a9"/>
        <w:spacing w:line="360" w:lineRule="auto"/>
        <w:jc w:val="both"/>
      </w:pPr>
    </w:p>
    <w:p w:rsidR="00F15F4A" w:rsidRDefault="00CC0AC5">
      <w:pPr>
        <w:pStyle w:val="a9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 и литература:</w:t>
      </w:r>
    </w:p>
    <w:p w:rsidR="00F15F4A" w:rsidRDefault="00CC0AC5">
      <w:pPr>
        <w:pStyle w:val="a9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Раевский, М.Н. Западный район экспедиции по изучению хлебной торговли и производительности России / М.Н. Раевского — Ч. 2: район Западной Двины и верховья Днепра. - : Типография брат. Пантелеевых. - Спб, 1876. – 168 с.</w:t>
      </w:r>
    </w:p>
    <w:p w:rsidR="00F15F4A" w:rsidRDefault="00CC0AC5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be-BY"/>
        </w:rPr>
        <w:t>Сапунов, А.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Река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Западная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Двина.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Историко-географический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обзор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картами.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/ А. Сапунов 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Витебск: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Типо-литография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Г.А.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Малкина,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СПб, </w:t>
      </w:r>
      <w:r>
        <w:rPr>
          <w:rFonts w:ascii="Times New Roman" w:hAnsi="Times New Roman" w:cs="Times New Roman"/>
          <w:sz w:val="28"/>
          <w:szCs w:val="28"/>
          <w:lang w:val="be-BY"/>
        </w:rPr>
        <w:t>1893.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512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с;</w:t>
      </w:r>
    </w:p>
    <w:p w:rsidR="00F15F4A" w:rsidRDefault="00CC0AC5">
      <w:pPr>
        <w:pStyle w:val="a9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Истомина, Э.Г. Водные пути и их роль в экономическом развитии Европейской России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5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5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/ Э.Г. Истомина. – М., 1983. - 40 с.</w:t>
      </w:r>
    </w:p>
    <w:p w:rsidR="00F15F4A" w:rsidRPr="00E5036A" w:rsidRDefault="00CC0AC5">
      <w:pPr>
        <w:pStyle w:val="ac"/>
        <w:numPr>
          <w:ilvl w:val="0"/>
          <w:numId w:val="1"/>
        </w:numPr>
        <w:spacing w:after="0" w:line="360" w:lineRule="auto"/>
        <w:jc w:val="both"/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Гісторыя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Беларускай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ССР: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тамах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рэдкал.: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І.М.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Ігнаценка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(гал.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рэд.)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[і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інш.].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Мінск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Навука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тэхніка,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1972.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Беларусь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перыяд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капіталізму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(1861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1917гг.)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І.М.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Ігнаценка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[і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інш.].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1972.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681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с.</w:t>
      </w:r>
    </w:p>
    <w:p w:rsidR="00F15F4A" w:rsidRDefault="00CC0AC5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be-BY"/>
        </w:rPr>
        <w:t>Бейлькин,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Х.Ю.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Сельскохозяйственный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рынок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Белоруссии.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1861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be-BY"/>
        </w:rPr>
        <w:t>1914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гг.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Х.Ю. Бейлькин. - н</w:t>
      </w:r>
      <w:r>
        <w:rPr>
          <w:rFonts w:ascii="Times New Roman" w:hAnsi="Times New Roman" w:cs="Times New Roman"/>
          <w:sz w:val="28"/>
          <w:szCs w:val="28"/>
          <w:lang w:val="be-BY"/>
        </w:rPr>
        <w:t>ауч.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ред.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Бич. - Минск: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Наука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техника,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1989.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288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с;</w:t>
      </w:r>
    </w:p>
    <w:p w:rsidR="00F15F4A" w:rsidRDefault="00CC0AC5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be-BY"/>
        </w:rPr>
        <w:t>Бобровский,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географии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статистики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России: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Гродненская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губерния. /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П. Бобровский 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СПб.,1863.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ч.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1-2;</w:t>
      </w:r>
    </w:p>
    <w:sectPr w:rsidR="00F15F4A" w:rsidSect="00F15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59E" w:rsidRDefault="00C3459E" w:rsidP="00D64981">
      <w:pPr>
        <w:spacing w:after="0" w:line="240" w:lineRule="auto"/>
      </w:pPr>
      <w:r>
        <w:separator/>
      </w:r>
    </w:p>
  </w:endnote>
  <w:endnote w:type="continuationSeparator" w:id="1">
    <w:p w:rsidR="00C3459E" w:rsidRDefault="00C3459E" w:rsidP="00D6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1" w:rsidRDefault="00D6498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1" w:rsidRDefault="00D6498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1" w:rsidRDefault="00D6498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59E" w:rsidRDefault="00C3459E" w:rsidP="00D64981">
      <w:pPr>
        <w:spacing w:after="0" w:line="240" w:lineRule="auto"/>
      </w:pPr>
      <w:r>
        <w:separator/>
      </w:r>
    </w:p>
  </w:footnote>
  <w:footnote w:type="continuationSeparator" w:id="1">
    <w:p w:rsidR="00C3459E" w:rsidRDefault="00C3459E" w:rsidP="00D6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1" w:rsidRDefault="00D64981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743" o:spid="_x0000_s2050" type="#_x0000_t136" style="position:absolute;margin-left:0;margin-top:0;width:566.2pt;height:113.2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1" w:rsidRDefault="00D64981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744" o:spid="_x0000_s2051" type="#_x0000_t136" style="position:absolute;margin-left:0;margin-top:0;width:566.2pt;height:113.2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1" w:rsidRDefault="00D64981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742" o:spid="_x0000_s2049" type="#_x0000_t136" style="position:absolute;margin-left:0;margin-top:0;width:566.2pt;height:113.2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3E6A"/>
    <w:multiLevelType w:val="multilevel"/>
    <w:tmpl w:val="9A0C4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43F3034F"/>
    <w:multiLevelType w:val="multilevel"/>
    <w:tmpl w:val="16344F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5F4A"/>
    <w:rsid w:val="005B4B7D"/>
    <w:rsid w:val="009A37B6"/>
    <w:rsid w:val="009D6D64"/>
    <w:rsid w:val="00C3459E"/>
    <w:rsid w:val="00CC0AC5"/>
    <w:rsid w:val="00D61039"/>
    <w:rsid w:val="00D64981"/>
    <w:rsid w:val="00E5036A"/>
    <w:rsid w:val="00F1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5F4A"/>
    <w:pPr>
      <w:tabs>
        <w:tab w:val="left" w:pos="708"/>
      </w:tabs>
      <w:suppressAutoHyphens/>
    </w:pPr>
    <w:rPr>
      <w:rFonts w:ascii="Calibri" w:eastAsia="Droid Sans" w:hAnsi="Calibri" w:cs="FreeSans"/>
      <w:color w:val="00000A"/>
      <w:lang w:eastAsia="en-US"/>
    </w:rPr>
  </w:style>
  <w:style w:type="paragraph" w:customStyle="1" w:styleId="a4">
    <w:name w:val="Заголовок"/>
    <w:basedOn w:val="a3"/>
    <w:next w:val="a5"/>
    <w:rsid w:val="00F15F4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F15F4A"/>
    <w:pPr>
      <w:spacing w:after="120"/>
    </w:pPr>
  </w:style>
  <w:style w:type="paragraph" w:styleId="a6">
    <w:name w:val="List"/>
    <w:basedOn w:val="a5"/>
    <w:rsid w:val="00F15F4A"/>
  </w:style>
  <w:style w:type="paragraph" w:styleId="a7">
    <w:name w:val="Title"/>
    <w:basedOn w:val="a3"/>
    <w:rsid w:val="00F15F4A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rsid w:val="00F15F4A"/>
    <w:pPr>
      <w:suppressLineNumbers/>
    </w:pPr>
  </w:style>
  <w:style w:type="paragraph" w:styleId="a9">
    <w:name w:val="No Spacing"/>
    <w:rsid w:val="00F15F4A"/>
    <w:pPr>
      <w:tabs>
        <w:tab w:val="left" w:pos="708"/>
      </w:tabs>
      <w:suppressAutoHyphens/>
      <w:spacing w:after="0" w:line="100" w:lineRule="atLeast"/>
    </w:pPr>
    <w:rPr>
      <w:rFonts w:ascii="Calibri" w:eastAsia="Droid Sans" w:hAnsi="Calibri" w:cs="FreeSans"/>
      <w:color w:val="00000A"/>
      <w:lang w:eastAsia="en-US"/>
    </w:rPr>
  </w:style>
  <w:style w:type="paragraph" w:customStyle="1" w:styleId="aa">
    <w:name w:val="Содержимое таблицы"/>
    <w:basedOn w:val="a3"/>
    <w:rsid w:val="00F15F4A"/>
    <w:pPr>
      <w:suppressLineNumbers/>
    </w:pPr>
  </w:style>
  <w:style w:type="paragraph" w:customStyle="1" w:styleId="ab">
    <w:name w:val="Заголовок таблицы"/>
    <w:basedOn w:val="aa"/>
    <w:rsid w:val="00F15F4A"/>
    <w:pPr>
      <w:jc w:val="center"/>
    </w:pPr>
    <w:rPr>
      <w:b/>
      <w:bCs/>
    </w:rPr>
  </w:style>
  <w:style w:type="paragraph" w:styleId="ac">
    <w:name w:val="List Paragraph"/>
    <w:basedOn w:val="a3"/>
    <w:rsid w:val="00F15F4A"/>
    <w:pPr>
      <w:ind w:left="720"/>
    </w:pPr>
  </w:style>
  <w:style w:type="paragraph" w:styleId="ad">
    <w:name w:val="header"/>
    <w:basedOn w:val="a"/>
    <w:link w:val="ae"/>
    <w:uiPriority w:val="99"/>
    <w:semiHidden/>
    <w:unhideWhenUsed/>
    <w:rsid w:val="00D6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64981"/>
  </w:style>
  <w:style w:type="paragraph" w:styleId="af">
    <w:name w:val="footer"/>
    <w:basedOn w:val="a"/>
    <w:link w:val="af0"/>
    <w:uiPriority w:val="99"/>
    <w:semiHidden/>
    <w:unhideWhenUsed/>
    <w:rsid w:val="00D6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649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SHU_VIRTUAL</cp:lastModifiedBy>
  <cp:revision>7</cp:revision>
  <dcterms:created xsi:type="dcterms:W3CDTF">2012-05-03T19:06:00Z</dcterms:created>
  <dcterms:modified xsi:type="dcterms:W3CDTF">2015-02-14T09:22:00Z</dcterms:modified>
</cp:coreProperties>
</file>