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Default="0039607B" w:rsidP="0039607B">
      <w:pPr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Образование и развитие </w:t>
      </w:r>
      <w:r w:rsidRPr="00AE19EB">
        <w:rPr>
          <w:b/>
          <w:sz w:val="28"/>
          <w:szCs w:val="28"/>
          <w:lang w:val="uk-UA"/>
        </w:rPr>
        <w:t xml:space="preserve"> городов и местечек в Беларуси и Украине во второй половине </w:t>
      </w:r>
      <w:r w:rsidRPr="00AE19EB">
        <w:rPr>
          <w:b/>
          <w:sz w:val="28"/>
          <w:szCs w:val="28"/>
          <w:lang w:val="en-US"/>
        </w:rPr>
        <w:t>XVI</w:t>
      </w:r>
      <w:r w:rsidRPr="00AE19EB">
        <w:rPr>
          <w:b/>
          <w:sz w:val="28"/>
          <w:szCs w:val="28"/>
        </w:rPr>
        <w:t xml:space="preserve"> – первой трети </w:t>
      </w:r>
      <w:r w:rsidRPr="00AE19EB">
        <w:rPr>
          <w:b/>
          <w:sz w:val="28"/>
          <w:szCs w:val="28"/>
          <w:lang w:val="en-US"/>
        </w:rPr>
        <w:t>XVII</w:t>
      </w:r>
      <w:r w:rsidRPr="00AE19EB">
        <w:rPr>
          <w:b/>
          <w:sz w:val="28"/>
          <w:szCs w:val="28"/>
        </w:rPr>
        <w:t xml:space="preserve"> в.</w:t>
      </w:r>
    </w:p>
    <w:p w:rsidR="0039607B" w:rsidRDefault="0039607B" w:rsidP="0039607B">
      <w:pPr>
        <w:spacing w:line="360" w:lineRule="exact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В.Н. Кадира</w:t>
      </w:r>
    </w:p>
    <w:p w:rsidR="0039607B" w:rsidRDefault="0039607B" w:rsidP="0039607B">
      <w:pPr>
        <w:spacing w:line="360" w:lineRule="exact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Минск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Актуальныя пытанні сучаснай навукі: зб. навук. прац / рэдкал. : В.В. Бушчык (адк.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be-BY"/>
        </w:rPr>
        <w:t xml:space="preserve">эд.) </w:t>
      </w:r>
      <w:r w:rsidRPr="00D9211C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і інш.</w:t>
      </w:r>
      <w:r w:rsidRPr="00D9211C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>. – Мінск : БДПУ, 2014. – с. 11 – 15.</w:t>
      </w:r>
    </w:p>
    <w:p w:rsidR="0039607B" w:rsidRP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39607B">
        <w:rPr>
          <w:b/>
          <w:sz w:val="28"/>
          <w:szCs w:val="28"/>
          <w:lang w:val="be-BY"/>
        </w:rPr>
        <w:t xml:space="preserve">Ключевые слова: </w:t>
      </w:r>
      <w:r w:rsidRPr="0039607B">
        <w:rPr>
          <w:sz w:val="28"/>
          <w:szCs w:val="28"/>
          <w:lang w:val="be-BY"/>
        </w:rPr>
        <w:t xml:space="preserve">местечки, товарно-денежные отношения, ремесленники, подмастерья, </w:t>
      </w:r>
      <w:r>
        <w:rPr>
          <w:sz w:val="28"/>
          <w:szCs w:val="28"/>
          <w:lang w:val="be-BY"/>
        </w:rPr>
        <w:t>цеховые союзы.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Углубление общественного разделения труда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 – первой трети</w:t>
      </w:r>
      <w:r w:rsidRPr="00A14D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способствовало появлению в Беларуси и Украине новых городов и городских поселений (местечек), развитию старых городов и росту городского населения. В Беларуси в городах и местечках проживало в исследуемый период от 350 до 370 тыс. человек (приблизительно 12% всего населения) [1]. Росла численность городских жителей и в Украине. Так, например, в г. Каневе за </w:t>
      </w:r>
      <w:r>
        <w:rPr>
          <w:sz w:val="28"/>
          <w:szCs w:val="28"/>
          <w:lang w:val="uk-UA"/>
        </w:rPr>
        <w:t>1552–1622 гг. количество домов увеличилось почти в 7 раз (с 226 до 1644), в г. Черкассах – в 4,5 раза (с 257 до 1120), в г. Киеве – в 3,6 раза (с 487 до 1750), в местечке Котыльня – в 9 раз (с 70 до 633), в местечке Васильков – в 8 раз (с 60 до 500), в местечке Лубны – более чем в 6 раз (со 153 до 882) [2]. Появились новые города: Борисполь, Гадяч, Гайсин, Кременчуг, Конотоп, Миргород, Староконстантинов, Фастов, Умань и др. [3].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Расширение рыночных связей и развитие товарно-денежных отношений привели к углублению специализации городского ремесла, к переходу ремесленников от работы на заказ к работе на рынок. В городах Беларуси насчитывалось около 200 профессий ремеслеников и около 300 в городах Украины.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Ремесленники почти всех белорусских и украинских городов объединялись в цеховые союзы, куда, как правило, входили ремесленники одинаковых или схожих специальностей. Рядовые члены цеховых организаций, подмастерья и ученики угнетались цеховой верхушкой. Доходы ремесленников поступали «в братскую кружку», которой ведали старшие мастера [4].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Часть городов принадлежало государству (т. н. королевские города). Эти города являлись административными центрами и чаще всего управлялись на основе магдебургского права. Значительное число городов Беларуси и Украины принадлежало феодалам, в том числе и церкви (как католической, так и православной). Так, например, в начале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в Киевском воеводстве из 206 городов королевских было 46, частновладельческих – 150, церковных – 10; в Брацлавском воеводстве из 117 городов королевских было 6, частновладельческих – 111; в Подольском воеводстве из 37 городов королевских насчитывалось 7, частновладельческих </w:t>
      </w:r>
      <w:r>
        <w:rPr>
          <w:sz w:val="28"/>
          <w:szCs w:val="28"/>
        </w:rPr>
        <w:lastRenderedPageBreak/>
        <w:t xml:space="preserve">– 28, церковных – 2. В общей сложности в Украине свыше 80% городов составляли частную собственность. Правда, некоторые частновладельческие города пользовались магдебургским правом. Отдельные магнаты владели многими городами. Канцепольскому, например, лишь на Брацлавщине принадлежало 170 городов и местечек, Острожскому – 80 </w:t>
      </w:r>
      <w:r>
        <w:rPr>
          <w:sz w:val="28"/>
          <w:szCs w:val="28"/>
          <w:lang w:val="uk-UA"/>
        </w:rPr>
        <w:t>[5]</w:t>
      </w:r>
      <w:r>
        <w:rPr>
          <w:sz w:val="28"/>
          <w:szCs w:val="28"/>
        </w:rPr>
        <w:t xml:space="preserve">. В Беларуси также более половины городов и местечек были частновладельческими </w:t>
      </w:r>
      <w:r>
        <w:rPr>
          <w:sz w:val="28"/>
          <w:szCs w:val="28"/>
          <w:lang w:val="uk-UA"/>
        </w:rPr>
        <w:t>[6]</w:t>
      </w:r>
      <w:r>
        <w:rPr>
          <w:sz w:val="28"/>
          <w:szCs w:val="28"/>
        </w:rPr>
        <w:t>. Эти города содействовали поширению</w:t>
      </w:r>
      <w:r w:rsidRPr="002B3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местничества и сепаратистским стремлениям владельцев, а не централистским намерениям короля. Феодальное владение городами затормаживало и их экономическое развитие. Особенно мешали их развитию так называемые юридики – земельные владения светских и духовных феодалов на территории королевских городов, которые не подчинялись городским судам и администрации. Остальные горожане были защищены законом </w:t>
      </w:r>
      <w:r>
        <w:rPr>
          <w:sz w:val="28"/>
          <w:szCs w:val="28"/>
          <w:lang w:val="uk-UA"/>
        </w:rPr>
        <w:t>[7]. В юридики входили иногда целые кварталы с ремесленниками и торговым населением. Возникали они на основе привилеев, выданных феодалам королем. Собственники юридик взимали с живущих там ремесленников и торговцев различные сборы, принуждали их отбывать повинности.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увеличения своих доходов в городах феодалы селили там своих крепостных крестьян, чтобы использовать их труд в ремесле и торговле. Так, в одном из документов 1586 г. говорилось, что в Минске «князи, панове и земяне ... духовного и светского стану с давных часов набывшы пляцов, подданных своих там осадили, которые в месте мешкаючи, торгов, ремесла, гандлев и всяких пожитков местеских ... уживают» [8]. Ремесленникам, проживавшим в городах и местечках, принадлежавших феодалам, и занимавшимся еще и сельским хозяйством, барщина заменялась чиншем либо денежным налогом согласно статусу городского населения [9].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Кроме ремесла в городах и местечках развивались промыслы. Это были мельницы, гуты, рудни, пивоварни, винокурни и кирпичные предприятия. Мельницы и предприятия по производству кирпича часто принадлежали магистратам городов, другие предприятия, как правило, были собственностью феодалов. Те и другие сдавались в аренду. Арендаторы в исследуемый период уже использавали наемный труд.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 тяжелыми были насилия со стороны старост и воевод, которые накладывали на ремесленников непомерные «повинности и пошлины незвыклые», что вызывало протест населения городов и местечек [10, с. 216]. Так, например, жители Полоцка жаловались, что воевода «многие ремесные люди ... моцно еси на себе забрал и на себе им кажет робити» [11]. С такой же жалобой обратились и жители Гродно, где староста подчинил себе «мяшчан і ўсіх рамеснікаў ... амаль палавіну горада» [12].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Мещане Житомира 12 февраля 1622 г. также обратились с жалобой на подстаросту и арендатора, отягощавших их повинностями и препятствоваших заниматься торговлей своими изделиями [13, с. 25–26].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Развитие ремесла, промыслов и торговли вело к углублению социальной дифференциации городского населения. Жители городов делились на городскую аристократию – патрициат (богатые купцы и часть ремесленных мастеров и арендаторов), бюргерство – цеховые мастера и торговцы средней категории (в нее входили все зажиточные горожане, не принадлежавшие к городской аристократии), бедноту, которая пополнялась за счет учеников, челедников и бедных мещан. За пределами городской общины находились наемники, прислуга, работный люд, занятый на поденных работах, нищие и бродяги. Они составляли самую обездоленную и бесправную часть городского населения – плебс. Плебей не имел прав горожанина, и поэтому на него не распространялись сословные права и привилегии, хотя городская администрация заставляла обездоленных выполнять различные повинности и платежи, угрожая арестом или выселением из города.</w:t>
      </w:r>
    </w:p>
    <w:p w:rsidR="0039607B" w:rsidRPr="00B62D3E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Особенностью Украины было то, что часть городского населения составляли казаки. Согласно люстрации 1616 г., в Каневе, Черкассах, Чигирине, Корсуни, Белой Церкви, Переяславе, Богуславе, Ирклееве, Стеблеве, Голтве, Крапивне, Данилове, Боровице число «непослушных» (казацких) дворов составляло от 50 до 80%. Количество этих дворов постоянно увеличивалось. Так, из материалов ревизии Киевского и Брацлавского воеводств 1632 г. видно, что в Черкассах, Ирклееве, Яготине, Крылове, Крапивне, Бобровице такие дворы составляли уже около 82,3% их общего числа. Количество казаков-горожан особенно заметно увеличилось во время крестьянско-казацких восстаний конца </w:t>
      </w:r>
      <w:r>
        <w:rPr>
          <w:sz w:val="28"/>
          <w:szCs w:val="28"/>
          <w:lang w:val="en-US"/>
        </w:rPr>
        <w:t>XVI</w:t>
      </w:r>
      <w:r w:rsidRPr="00185F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первой трети</w:t>
      </w:r>
      <w:r w:rsidRPr="00185F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[14].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некоторых «городах и местечках, – указывалось в королевской инструкции для сеймиков 1625 г., – все управление, вся власть у казаков, они присваивают юрисдикцию, устанавливают свои законы» [15]. Становление казацкого политического автономизма произошло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В сентябре 1592 г. гетман Войска Запорожского Криштоф Косинский в письме польскому королю Сигизмунду</w:t>
      </w:r>
      <w:r w:rsidRPr="007F5C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Вазе впервые обосновал идею неподчинения казачества власти старост и воевод [16].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своей стороны шляхта, которая проживала в городах или имела там юридики, стремилась ликвидировать казацкие юрисдикции в городах и местечках, освободить городское население от власти атаманов, полковников и других старшин, запретив мещанам и крестьянам, которые жили в городах, </w:t>
      </w:r>
      <w:r>
        <w:rPr>
          <w:sz w:val="28"/>
          <w:szCs w:val="28"/>
        </w:rPr>
        <w:lastRenderedPageBreak/>
        <w:t xml:space="preserve">подчиняться казаческим законам, ибо «… за короткий час вся </w:t>
      </w:r>
      <w:r>
        <w:rPr>
          <w:sz w:val="28"/>
          <w:szCs w:val="28"/>
          <w:lang w:val="uk-UA"/>
        </w:rPr>
        <w:t>Україна</w:t>
      </w:r>
      <w:r>
        <w:rPr>
          <w:sz w:val="28"/>
          <w:szCs w:val="28"/>
        </w:rPr>
        <w:t xml:space="preserve"> обернеться в козацтво…» [17].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Городовые казаки занимались ремеслом, промыслами и торговлей. Они играли важную роль в общественно-политической и социально-экономической жизни городов. Социальные конфликты с участием казачества происходили не только между казачеством, с одной стороны,</w:t>
      </w:r>
      <w:r>
        <w:rPr>
          <w:sz w:val="28"/>
          <w:szCs w:val="28"/>
          <w:lang w:val="uk-UA"/>
        </w:rPr>
        <w:t xml:space="preserve"> и администрацией, магнатами и шляхтой, с другой, но и между зажиточной казацкой верхушкой и основной масс</w:t>
      </w:r>
      <w:r>
        <w:rPr>
          <w:sz w:val="28"/>
          <w:szCs w:val="28"/>
        </w:rPr>
        <w:t>ой казачества – мелкими ремесленниками, землевладельцами, а также казацкой беднотой, прежде всего батраками.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Пеструю картину представляло городское население и по национальному составу. В городах Беларуси большинство горожан были белорусами, однако источники содержат сведения и о других национальностях: поляках, русских, украинцах, литовцах, немцах. Значительной группой городского населения на западе и в центральных районах Беларуси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были евреи и татары [18]. В Украине, кроме украинцев, составлявших большинство населения, в городах проживали также русские, белорусы, поляки, молдоване, литовцы, армяне, немцы, евреи, болгары, венгры, сербы, греки, турки, татары и др. [19].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Зажиточные горожане из числа некоренного населения занимались торговлей, арендовали промыслы, усадьбы, сбор пошлин. Низшие слои некоренного населения занимались ремеслом, работали на промыслах. После Люблинской унии 1569 г., объединившей Польшу и Великое княжество Литовское в единое государство Речь Посполитую, в условиях польской феодальной экспансии небелорусское и неукраинское (особенно польское) городское население возрастало особенно быстро. После захвата шляхетской Польшей Подляшья, Волыни, Брацлавщины и Киевщины в западноукраинских городах в первой трети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некоренное население составляло уже около 30% горожан. В целом роль иностранной верхушки в украинских городах можно с определенной оговоркой сравнить с ролью, которую сыграло в свое время немецкое бюргерство в польских городах. По этому поводу Ф. Энгельс писал: «…немцы помешали созданию … польских городов с польской буржуазией. Своим особым языком, своей отчужденностью от польского населения, тысячей своих различных привилегий и городовых положений они затрудняли осуществление централизации этого могущественнейшего политического средства быстрого развития всякой страны. Почти у каждого города было свое особое право; больше того, в городах со смешанным населением существовало … различное право для немцев, для поляков и для евреев» [20]. Подтверждением этой мысли являются жалобы горожан на произвол </w:t>
      </w:r>
      <w:r>
        <w:rPr>
          <w:sz w:val="28"/>
          <w:szCs w:val="28"/>
        </w:rPr>
        <w:lastRenderedPageBreak/>
        <w:t>некоренной городской аристократии. Так, в 1576 г. ремесленники львовских цехов писали в своей жалобе королю: «Одна … семья управляет городом… Бурмистром является Вольф Шольц, один сын его держит верховную власть войтовства, другие сыновья … являются лавниками, зятья – райцами (членами рады. – В.К.)» [21]. Стремясь упрочить свое привилегированное положение, патрициат, состоящий из иностранцев, поддерживал режим, устанавливаемый шляхетской Польшей.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феодального гнета в городах Беларуси и Украины происходит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первой трети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С увеличением количества юридик феодалов в городах сокращалась и их платежеспособность. Так, например, если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в Могилеве была только одна юридика замка, под которой находилось 42 дыма, то в 40-е годы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их было уже более 10. При уплате податей жители Могилева смогли отдать в казну менее 60% необходимой суммы [22].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горожане, которые продолжали заниматься земледелием, платили чинш, причем размер его все время увеличивался. Если, например, в Калуше в 1549 г. собирали по 20 грошей с дыма, то в 1616 г. – уже по 30. В местечке Подгородье за полстолетие денежная рента с лана возросла с 24 до 68 грошей, т. е. увеличилась почти в 3 раза [23]. С горожан взимались самые разнообразные налоги. Люстрация Житомирского староства 1622 г. свидетельствует, что население Житомира по своему хозяйственному положению делилось на три категории: горожане первой категории платили чинш по 2 злотых с хозяйства, второй – по 1 злотому и 12 грошей, третий – по 1 злотому. Размер денежного чинша зависел также от профессии или рода занятий.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в., например, в Коломне портные платили в год по 7 грошей, бондари, скорняки, шорники, слесари, кузнецы, печники – по 8, гончары – по 15; в Староконстантинове ремесленники платили по 4 гроша, перекупщики – по 7; в Золочеве ремесленники платили по 8–10 грошей; в Рогатине пекари – по 33 гроша [24].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регулярных податей (подымного, чепового, шосового, поземельного) и пошлинных сборов города облагались поборами на содержание войска, депутатов сейма, на оплату королевских привилеев городу, на судебные тяжбы в апелляционном королевском суде. Значительными были торговые и ярмарочные пошлины. Так, например, если в первой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 в. годовой доход в казну Великого княжества Литовского составлял немногим более 46 тыс. злотых (14575 коп.), то в 1578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1579 гг. только торговая пошлина с купечества и торгующих мещан дала казне около 29 тыс. коп. или 72 тыс. злотых [25]. Такие поборы, как колядки и свадебная куница стали также взиматься деньгами.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платежей деньгами горожане отбывали значительные натуральные повинности. Например, население Межирова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ежегодно давало старосте от каждого хозяйства три меры хлеба, пчелиную и свиную десятину и от общины 10 волов. Население Коломын и Яблунова в первой трети</w:t>
      </w:r>
      <w:r w:rsidRPr="002306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давало своему господину поволовщину, пчелиную десятину, свиную и овечью двадцатину. К этому прибавлялась «хлебная мера» 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плата за принудительное пользование господскими мельницами, пивоварнями и солодовнями. В Галичине эта дань часто превышала все натуральные повинности. Сохранялась и стация – натуральная повинность, взимаемая с населения для содержания королевского войска [26].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частновладельческих городов и особенно местечек зачастую отбывало барщину в поле, чистило пруды, сооружало запруды и т. п. Так, жители Ошмян магнатов Потоцких отбывали в начале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трехдневную барщину с тяглой силой и двухдневную пешую барщину и выполняли различные сезонные работы [27]. Горожане Будзанова в Украине отбывали двухдневную барщину с тяглой силой с лана и двухдневную пешую барщину с полулана. Многочисленны были и другие повинности. Так, например, население Тернополя в середине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один день в году жало хлеб, один день косило сено; жители Слободища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день пахали, день жали, день косили; население Каменки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Струмиловой в первой трети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два дня выходило на ловлю рыбы сетями; в Овруче – один день косило или жало; в Литвине – два дня пахало, два – косило, два – жало. Количество отработочных дней постоянно увеличивалось. Если население Хмельника в 1576 г. отрабатывало два дня барщины, то в 1618 г. – уже шесть [28].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Тяжелым бременем на плечи горожан ложились повинности и работы, связанные с сооружением и ремонтом замков, их охраной, содержанием горнизонов. Например, население Житомира в 1616 г. жаловалось люстраторам на тяготы, которые оно терпит от замковой администрации. Жителей города принуждали возить дрова, являться в замок «на работы … с топорами ежедневно», хотя согласно привилеям они должны были работать всего шесть дней в году, да и то только летом [29].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пользу духовенства с горожан взимались церковная десятина деньгами и различные дани. Так,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население Николаева (Галичина) отдавало священнику со двора по полмерки ржи и овса и, кроме того, на пасху – по грошу со двора (коморники – полгроша) [30].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Владельцы городов и местечек зачастую отдавали горожан в аренду и залог, что практически означало – на разграбление и разорение арендаторам.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беды городам, в том числе и тем, которые пользовались магдебургским правом, приносили произвол королевской администрации, бесчинства размещенных в городах солдат, феодальные междоусобицы и </w:t>
      </w:r>
      <w:r>
        <w:rPr>
          <w:sz w:val="28"/>
          <w:szCs w:val="28"/>
        </w:rPr>
        <w:lastRenderedPageBreak/>
        <w:t xml:space="preserve">многочисленные войны. Польский писатель и публицист Шимон Старовольский произвол королевской администрации считал «первым большим злом» для Речи Посполитой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XVII</w:t>
      </w:r>
      <w:r w:rsidRPr="005F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DE139B">
        <w:rPr>
          <w:sz w:val="28"/>
          <w:szCs w:val="28"/>
        </w:rPr>
        <w:t>[</w:t>
      </w:r>
      <w:r>
        <w:rPr>
          <w:sz w:val="28"/>
          <w:szCs w:val="28"/>
        </w:rPr>
        <w:t>31</w:t>
      </w:r>
      <w:r w:rsidRPr="00DE139B">
        <w:rPr>
          <w:sz w:val="28"/>
          <w:szCs w:val="28"/>
        </w:rPr>
        <w:t>]</w:t>
      </w:r>
      <w:r>
        <w:rPr>
          <w:sz w:val="28"/>
          <w:szCs w:val="28"/>
        </w:rPr>
        <w:t xml:space="preserve">. Буржуазный </w:t>
      </w:r>
      <w:r>
        <w:rPr>
          <w:sz w:val="28"/>
          <w:szCs w:val="28"/>
          <w:lang w:val="uk-UA"/>
        </w:rPr>
        <w:t>историк А. Я</w:t>
      </w:r>
      <w:r>
        <w:rPr>
          <w:sz w:val="28"/>
          <w:szCs w:val="28"/>
        </w:rPr>
        <w:t xml:space="preserve">блоновский, один из апологетов пресловутой «цивилизаторской миссии» польской шляхты в Беларуси и Украине, вынужден был признать, что украинские и белорусские города и их население терпели притеснения со стороны старост и других должностных лиц королевской администрации, неограниченная власть которых довлела над городами. О произволе представителей королевской власти в первой половине </w:t>
      </w:r>
      <w:r>
        <w:rPr>
          <w:sz w:val="28"/>
          <w:szCs w:val="28"/>
          <w:lang w:val="en-US"/>
        </w:rPr>
        <w:t>XVII</w:t>
      </w:r>
      <w:r w:rsidRPr="007C7A9F">
        <w:rPr>
          <w:sz w:val="28"/>
          <w:szCs w:val="28"/>
        </w:rPr>
        <w:t xml:space="preserve"> </w:t>
      </w:r>
      <w:r>
        <w:rPr>
          <w:sz w:val="28"/>
          <w:szCs w:val="28"/>
        </w:rPr>
        <w:t>в. в «Летописи</w:t>
      </w:r>
      <w:r w:rsidRPr="00397E8D">
        <w:rPr>
          <w:sz w:val="28"/>
          <w:szCs w:val="28"/>
        </w:rPr>
        <w:t xml:space="preserve"> </w:t>
      </w:r>
      <w:r>
        <w:rPr>
          <w:sz w:val="28"/>
          <w:szCs w:val="28"/>
        </w:rPr>
        <w:t>Самовидца» говорится: «… вимисли надуманные повинности и различные унижения вел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кие были от старостов» [32].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киевские ремесленники жаловались королю на злоупотреблени</w:t>
      </w:r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воеводы и других урядников: «Повинности и пошлины незвыклые на них вытягуют, до везенья (в тюрьму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– В.К.) безвинне сажают и трудности задают» [33]. Властьимущие принуждали ремесленников даром отдавать им свои изделия, выполнять различные тяжелые работы.</w:t>
      </w:r>
    </w:p>
    <w:p w:rsidR="0039607B" w:rsidRDefault="0039607B" w:rsidP="0039607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Много бед причиняли городам магнатские междоусобицы, неизменным спутником которых были грабежи населения. Паны «спешили на грабежи, как [осы] на мед». Так, в сентябре 1584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г. шляхтич М. Немирич совершил нападение на местечко Топорище, принадлежавшие шляхтичу Т. Бутовичу, «з многими слугами и помочниками, 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з иншею многою стрелбою и оружием… конно и збройно … кгвалтом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… все побрал, попалил», а слуги Немирича в местечке «яко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… татары побурили» [34].</w:t>
      </w:r>
    </w:p>
    <w:p w:rsidR="0039607B" w:rsidRPr="0027567C" w:rsidRDefault="0039607B" w:rsidP="0039607B">
      <w:pPr>
        <w:pStyle w:val="a4"/>
        <w:spacing w:line="360" w:lineRule="exact"/>
      </w:pPr>
      <w:r>
        <w:rPr>
          <w:szCs w:val="28"/>
        </w:rPr>
        <w:t xml:space="preserve">Таким образом, </w:t>
      </w:r>
      <w:r>
        <w:t>в современной исторической науке проблеме истории города уделяется большое внимание. Она составляет неотъемлемую часть истории страны, и без изучения этой важной проблемы нельзя изучить закономерности исторического процесса. К числу актуальных проблем, относится такая важная проблема как история образования и развития города в феодальную эпоху, которая характеризуется постоянной освободительной войной.</w:t>
      </w:r>
    </w:p>
    <w:p w:rsidR="0039607B" w:rsidRDefault="0039607B" w:rsidP="0039607B">
      <w:pPr>
        <w:jc w:val="center"/>
        <w:rPr>
          <w:sz w:val="28"/>
          <w:szCs w:val="28"/>
        </w:rPr>
      </w:pPr>
    </w:p>
    <w:p w:rsidR="0039607B" w:rsidRDefault="0039607B" w:rsidP="0039607B">
      <w:pPr>
        <w:jc w:val="center"/>
        <w:rPr>
          <w:sz w:val="28"/>
          <w:szCs w:val="28"/>
        </w:rPr>
      </w:pPr>
      <w:r w:rsidRPr="00CD2BD8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:</w:t>
      </w:r>
    </w:p>
    <w:p w:rsidR="0039607B" w:rsidRPr="00CD2BD8" w:rsidRDefault="0039607B" w:rsidP="0039607B">
      <w:pPr>
        <w:jc w:val="center"/>
        <w:rPr>
          <w:sz w:val="28"/>
          <w:szCs w:val="28"/>
        </w:rPr>
      </w:pPr>
    </w:p>
    <w:p w:rsidR="0039607B" w:rsidRPr="00CD2BD8" w:rsidRDefault="0039607B" w:rsidP="003960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Гістор</w:t>
      </w:r>
      <w:r w:rsidRPr="00CD2BD8">
        <w:rPr>
          <w:rFonts w:ascii="Times New Roman" w:hAnsi="Times New Roman" w:cs="Times New Roman"/>
          <w:sz w:val="28"/>
          <w:szCs w:val="28"/>
        </w:rPr>
        <w:t>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487 с.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>История Украинской ССР: в 10 т. / гл. ред.: Ю.Ю. Кондифор. – Киев: Наукова думка, 1982. – Т. 2. – С. 284–285.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Артюшев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ский, О.П. Совместная антикрепостническая борьба трудящихся масс России, Украины и Белоруссии. Вторая половина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60-е годы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ст. / О.П. Артюшевский. – Киев: Вища школа, 1987.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С. 25.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Археографический сборник документов, относящихся к истории Северо-Западной Руси.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CD2BD8">
        <w:rPr>
          <w:rFonts w:ascii="Times New Roman" w:hAnsi="Times New Roman" w:cs="Times New Roman"/>
          <w:sz w:val="28"/>
          <w:szCs w:val="28"/>
        </w:rPr>
        <w:t xml:space="preserve"> Вильно, 1867.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CD2BD8">
        <w:rPr>
          <w:rFonts w:ascii="Times New Roman" w:hAnsi="Times New Roman" w:cs="Times New Roman"/>
          <w:sz w:val="28"/>
          <w:szCs w:val="28"/>
        </w:rPr>
        <w:t>Т. 1.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</w:rPr>
        <w:t>–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</w:rPr>
        <w:t>С.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</w:rPr>
        <w:t>327.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України в документах і матеріалах / отв. ред.: С.М. Белоусов.– Київ: Вид-во Акад. наук УРСР, 1941. – Т. 3. – С. 47.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Грицкевич, А.П. Частновладельческие города Белоруссии в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вв. / А.П. Грицкевич. –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Минск: Наука и техника, 1975. – 248 с.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</w:rPr>
        <w:t xml:space="preserve">Статут 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Вялікага княства Літоўскага 1566 года. – М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нск, 2003. – Раздзел 4.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Арт. 46, 47.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Гісторыя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201–202.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CD2BD8">
        <w:rPr>
          <w:rFonts w:ascii="Times New Roman" w:hAnsi="Times New Roman" w:cs="Times New Roman"/>
          <w:sz w:val="28"/>
          <w:szCs w:val="28"/>
        </w:rPr>
        <w:t xml:space="preserve">ИБ. – Юрьев, 1914. – Т. ХХХ.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2BD8">
        <w:rPr>
          <w:rFonts w:ascii="Times New Roman" w:hAnsi="Times New Roman" w:cs="Times New Roman"/>
          <w:sz w:val="28"/>
          <w:szCs w:val="28"/>
        </w:rPr>
        <w:t xml:space="preserve"> Ст. 159.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Архив Юго–Западной России, издаваемый Комиссией для разбора древних актов, состоящей при Киевском, Подольском и Волынском генерал-губернаторе. – Киев, 1907. – Т. 5, ч. 8. – 560 с.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Полоцк. Исторический очерк. – Минск, 1962. – С. 40.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Гістор</w:t>
      </w:r>
      <w:r w:rsidRPr="00CD2BD8">
        <w:rPr>
          <w:rFonts w:ascii="Times New Roman" w:hAnsi="Times New Roman" w:cs="Times New Roman"/>
          <w:sz w:val="28"/>
          <w:szCs w:val="28"/>
        </w:rPr>
        <w:t>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205.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Воссоединение Украин</w:t>
      </w:r>
      <w:r w:rsidRPr="00CD2BD8">
        <w:rPr>
          <w:rFonts w:ascii="Times New Roman" w:hAnsi="Times New Roman" w:cs="Times New Roman"/>
          <w:sz w:val="28"/>
          <w:szCs w:val="28"/>
        </w:rPr>
        <w:t>ы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с Россией: документы и материалы: в 3 т.    / редкол.: П.П. Гудзенко [и др.]; сост.: Е.М. Апанович, Е.И.Луговая, С.П. Майборода [и др.]. – М.: </w:t>
      </w:r>
      <w:r w:rsidRPr="00CD2BD8">
        <w:rPr>
          <w:rFonts w:ascii="Times New Roman" w:hAnsi="Times New Roman" w:cs="Times New Roman"/>
          <w:sz w:val="28"/>
          <w:szCs w:val="28"/>
        </w:rPr>
        <w:t>Изд-во Акад. наук СССР, 1953. – Т. 1. – 584 с.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История Украинской ССР: в 10 т. / гл. ред.: Ю.Ю. Кондифор. – Киев: Наукова думка, 1982. – Т. 2.</w:t>
      </w:r>
      <w:r w:rsidRPr="00CD2BD8">
        <w:rPr>
          <w:rFonts w:ascii="Times New Roman" w:hAnsi="Times New Roman" w:cs="Times New Roman"/>
          <w:sz w:val="28"/>
          <w:szCs w:val="28"/>
        </w:rPr>
        <w:t xml:space="preserve"> – С. 2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84–285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Воссоединение Украин</w:t>
      </w:r>
      <w:r w:rsidRPr="00CD2BD8">
        <w:rPr>
          <w:rFonts w:ascii="Times New Roman" w:hAnsi="Times New Roman" w:cs="Times New Roman"/>
          <w:sz w:val="28"/>
          <w:szCs w:val="28"/>
        </w:rPr>
        <w:t>ы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с Россией: документы и материалы: в 3 т.    / редкол.: П.П. Гудзенко [и др.]; сост.: Е.М. Апанович, Е.И.Луговая, С.П. Майборода [и др.]. – М.: </w:t>
      </w:r>
      <w:r w:rsidRPr="00CD2BD8">
        <w:rPr>
          <w:rFonts w:ascii="Times New Roman" w:hAnsi="Times New Roman" w:cs="Times New Roman"/>
          <w:sz w:val="28"/>
          <w:szCs w:val="28"/>
        </w:rPr>
        <w:t>Изд-во Акад. наук СССР, 1953. – Т. 1. – С. 64.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Брехуненко, В. Дванадцять листів гетьманів Війська Запорозького 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першої половини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століття з польських рукописних зібрань                / В. Брехуненко, М. Нагельский // Український археографічний щорічник. – Киев; Нью-Йорк, 2004. – Вип. 8/9. – Т. 11/12. – С. 440.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Мицик, Ю. Польський публіцистичний трактат першої чверті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про запорозьке козацтво / Ю. Мицик // Український археографічний щорічник. – Киев. – Т. 11/12. – С. 457.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lastRenderedPageBreak/>
        <w:t>Гістор</w:t>
      </w:r>
      <w:r w:rsidRPr="00CD2BD8">
        <w:rPr>
          <w:rFonts w:ascii="Times New Roman" w:hAnsi="Times New Roman" w:cs="Times New Roman"/>
          <w:sz w:val="28"/>
          <w:szCs w:val="28"/>
        </w:rPr>
        <w:t>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202.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Жерела до історії України–Руси: 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в 22 т. / гол. ред.: М. Грушевский.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– Львів: Б.И., 1908. – Т. 8. – С. 143.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Маркс, К. Сочинения: в 30 т. / К. Маркс, Ф. Энгельс. – 2-е изд. – М.: Политиздат, 1959. – Т. 5. – С. 338.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Михайлина, П.В.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Визвольна боротьба трудового населення міст України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(1569–1654)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>/ П.В. Михайлина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Киев: Наукова думка, 1975. – С. 53.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НИАБ. 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Фонд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517. – Оп. 1. – Д. 15. – Л. 569–671.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Михайлина, П.В. Визвольна боротьба трудового населения м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 України (1569–1654) / П.В.Михайлина. – Київ: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Наукова думка,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1975. – С. 34.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История Украинской ССР: в 10 т. / гл. ред.: Ю.Ю. Кондифор. – Киев: Наукова думка, 1982. – Т. 2.</w:t>
      </w:r>
      <w:r w:rsidRPr="00CD2BD8">
        <w:rPr>
          <w:rFonts w:ascii="Times New Roman" w:hAnsi="Times New Roman" w:cs="Times New Roman"/>
          <w:sz w:val="28"/>
          <w:szCs w:val="28"/>
        </w:rPr>
        <w:t xml:space="preserve"> – С. 291.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НИАБ. – Фонд 1275. – Оп. 1. – Д. 87. – Л. 244.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Центральный государственный архив древних актов (ЦГАДА). – Фонд 124. – Д. 18. Малороссийские дела.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en-US"/>
        </w:rPr>
        <w:t>AGAD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Archiwum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Publicznego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Potockich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Dzial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publo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29.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История Украинской ССР: в 10 т. / гл. ред.: Ю.Ю. Кондифор. – Киев: Наукова думка, 1982. – Т. 2.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– С. 292.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Баранович, А.И.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Украина накануне освободительной войны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середины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века (социально-экономические предпосылки войны)                   / А.И.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Баранович. – М.: Изд-во Акад. наук СССР, 1959. – С. 48.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Архив ЮЗР. – Киев, 1876. – Т. 1, ч. 6. – С. 263.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en-US"/>
        </w:rPr>
        <w:t>Starowo</w:t>
      </w:r>
      <w:r w:rsidRPr="00CD2BD8">
        <w:rPr>
          <w:rFonts w:ascii="Times New Roman" w:hAnsi="Times New Roman" w:cs="Times New Roman"/>
          <w:sz w:val="28"/>
          <w:szCs w:val="28"/>
        </w:rPr>
        <w:t>ĺ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2BD8">
        <w:rPr>
          <w:rFonts w:ascii="Times New Roman" w:hAnsi="Times New Roman" w:cs="Times New Roman"/>
          <w:sz w:val="28"/>
          <w:szCs w:val="28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Szymon</w:t>
      </w:r>
      <w:r w:rsidRPr="00CD2BD8">
        <w:rPr>
          <w:rFonts w:ascii="Times New Roman" w:hAnsi="Times New Roman" w:cs="Times New Roman"/>
          <w:sz w:val="28"/>
          <w:szCs w:val="28"/>
        </w:rPr>
        <w:t xml:space="preserve">.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Wybor</w:t>
      </w:r>
      <w:r w:rsidRPr="00CD2BD8">
        <w:rPr>
          <w:rFonts w:ascii="Times New Roman" w:hAnsi="Times New Roman" w:cs="Times New Roman"/>
          <w:sz w:val="28"/>
          <w:szCs w:val="28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D2BD8">
        <w:rPr>
          <w:rFonts w:ascii="Times New Roman" w:hAnsi="Times New Roman" w:cs="Times New Roman"/>
          <w:sz w:val="28"/>
          <w:szCs w:val="28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pism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Szymon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Starowo</w:t>
      </w:r>
      <w:r w:rsidRPr="00CD2BD8">
        <w:rPr>
          <w:rFonts w:ascii="Times New Roman" w:hAnsi="Times New Roman" w:cs="Times New Roman"/>
          <w:sz w:val="28"/>
          <w:szCs w:val="28"/>
        </w:rPr>
        <w:t>ĺ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BD8">
        <w:rPr>
          <w:rFonts w:ascii="Times New Roman" w:hAnsi="Times New Roman" w:cs="Times New Roman"/>
          <w:sz w:val="28"/>
          <w:szCs w:val="28"/>
        </w:rPr>
        <w:t xml:space="preserve"> –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Wroc</w:t>
      </w:r>
      <w:r w:rsidRPr="00CD2BD8">
        <w:rPr>
          <w:rFonts w:ascii="Times New Roman" w:hAnsi="Times New Roman" w:cs="Times New Roman"/>
          <w:sz w:val="28"/>
          <w:szCs w:val="28"/>
        </w:rPr>
        <w:t>ł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Pr="00CD2BD8">
        <w:rPr>
          <w:rFonts w:ascii="Times New Roman" w:hAnsi="Times New Roman" w:cs="Times New Roman"/>
          <w:sz w:val="28"/>
          <w:szCs w:val="28"/>
        </w:rPr>
        <w:t xml:space="preserve">;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CD2BD8">
        <w:rPr>
          <w:rFonts w:ascii="Times New Roman" w:hAnsi="Times New Roman" w:cs="Times New Roman"/>
          <w:sz w:val="28"/>
          <w:szCs w:val="28"/>
        </w:rPr>
        <w:t xml:space="preserve">;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Krakόw</w:t>
      </w:r>
      <w:r w:rsidRPr="00CD2BD8">
        <w:rPr>
          <w:rFonts w:ascii="Times New Roman" w:hAnsi="Times New Roman" w:cs="Times New Roman"/>
          <w:sz w:val="28"/>
          <w:szCs w:val="28"/>
        </w:rPr>
        <w:t xml:space="preserve">, 1991. –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2BD8">
        <w:rPr>
          <w:rFonts w:ascii="Times New Roman" w:hAnsi="Times New Roman" w:cs="Times New Roman"/>
          <w:sz w:val="28"/>
          <w:szCs w:val="28"/>
        </w:rPr>
        <w:t>. 74.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Літопис Самовидця. – Київ, 1971. – С. 46.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Архив ЮЗР. – Киев, 1907. – Т. 5, ч. 8. – С. 216.</w:t>
      </w:r>
    </w:p>
    <w:p w:rsidR="0039607B" w:rsidRPr="00CD2BD8" w:rsidRDefault="0039607B" w:rsidP="0039607B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Архив ЮЗР. – Киев, 1876. – Т. 1, ч. 6. – С. 143–144.</w:t>
      </w:r>
    </w:p>
    <w:p w:rsidR="0039607B" w:rsidRPr="009752C0" w:rsidRDefault="0039607B" w:rsidP="0039607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607B" w:rsidRPr="00983832" w:rsidRDefault="0039607B" w:rsidP="0039607B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</w:p>
    <w:p w:rsidR="0039607B" w:rsidRDefault="0039607B" w:rsidP="0039607B">
      <w:r>
        <w:t xml:space="preserve"> </w:t>
      </w:r>
    </w:p>
    <w:p w:rsidR="00306C13" w:rsidRDefault="00306C13"/>
    <w:sectPr w:rsidR="00306C13" w:rsidSect="003A3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0B" w:rsidRDefault="004A220B" w:rsidP="00446C9C">
      <w:r>
        <w:separator/>
      </w:r>
    </w:p>
  </w:endnote>
  <w:endnote w:type="continuationSeparator" w:id="1">
    <w:p w:rsidR="004A220B" w:rsidRDefault="004A220B" w:rsidP="0044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9C" w:rsidRDefault="00446C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9C" w:rsidRDefault="00446C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9C" w:rsidRDefault="00446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0B" w:rsidRDefault="004A220B" w:rsidP="00446C9C">
      <w:r>
        <w:separator/>
      </w:r>
    </w:p>
  </w:footnote>
  <w:footnote w:type="continuationSeparator" w:id="1">
    <w:p w:rsidR="004A220B" w:rsidRDefault="004A220B" w:rsidP="0044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9C" w:rsidRDefault="00446C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556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9C" w:rsidRDefault="00446C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557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9C" w:rsidRDefault="00446C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555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4D0"/>
    <w:multiLevelType w:val="hybridMultilevel"/>
    <w:tmpl w:val="D882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9607B"/>
    <w:rsid w:val="00306C13"/>
    <w:rsid w:val="0039607B"/>
    <w:rsid w:val="00446C9C"/>
    <w:rsid w:val="004942E5"/>
    <w:rsid w:val="004A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39607B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9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6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6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3247</Words>
  <Characters>18512</Characters>
  <Application>Microsoft Office Word</Application>
  <DocSecurity>0</DocSecurity>
  <Lines>154</Lines>
  <Paragraphs>43</Paragraphs>
  <ScaleCrop>false</ScaleCrop>
  <Company>Microsoft</Company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2015-02-11T15:41:00Z</dcterms:created>
  <dcterms:modified xsi:type="dcterms:W3CDTF">2015-02-11T15:36:00Z</dcterms:modified>
</cp:coreProperties>
</file>