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15" w:rsidRPr="008F3B2F" w:rsidRDefault="00872F15" w:rsidP="00872F15">
      <w:pPr>
        <w:spacing w:after="0" w:line="240" w:lineRule="auto"/>
        <w:jc w:val="center"/>
        <w:rPr>
          <w:b/>
        </w:rPr>
      </w:pPr>
      <w:r w:rsidRPr="008F3B2F">
        <w:rPr>
          <w:b/>
        </w:rPr>
        <w:t>ВОЛЬНЫЕ ЛЮДИ В БЕЛАРУСИ В СЕРЕДИНЕ XIX в.</w:t>
      </w:r>
    </w:p>
    <w:p w:rsidR="00872F15" w:rsidRPr="008F3B2F" w:rsidRDefault="00872F15" w:rsidP="00872F15">
      <w:pPr>
        <w:spacing w:after="0" w:line="240" w:lineRule="auto"/>
        <w:jc w:val="both"/>
        <w:rPr>
          <w:lang w:val="be-BY"/>
        </w:rPr>
      </w:pPr>
    </w:p>
    <w:p w:rsidR="00872F15" w:rsidRDefault="00872F15" w:rsidP="00872F15">
      <w:pPr>
        <w:spacing w:after="0" w:line="240" w:lineRule="auto"/>
        <w:ind w:firstLine="708"/>
        <w:jc w:val="both"/>
        <w:rPr>
          <w:lang w:val="be-BY"/>
        </w:rPr>
      </w:pPr>
      <w:r w:rsidRPr="008F3B2F">
        <w:rPr>
          <w:lang w:val="be-BY"/>
        </w:rPr>
        <w:t xml:space="preserve">Лютый, А. М. Вольные люди в Беларуси в середине XIX в. / А. М. Лютый, А. Э. Лютая // Европа: актуальные проблемы этнокультуры : </w:t>
      </w:r>
      <w:r w:rsidRPr="008F3B2F">
        <w:rPr>
          <w:rFonts w:eastAsia="Times New Roman"/>
          <w:lang w:val="be-BY" w:eastAsia="ru-RU"/>
        </w:rPr>
        <w:t xml:space="preserve">сб. науч. ст. / Белорус. гос. пед. ун-т ; редкол. : В. В. Тугай (отв. ред.) </w:t>
      </w:r>
      <w:r w:rsidRPr="008F3B2F">
        <w:rPr>
          <w:rFonts w:eastAsia="Times New Roman"/>
          <w:lang w:eastAsia="ru-RU"/>
        </w:rPr>
        <w:t>[и др.]. – Минск,</w:t>
      </w:r>
      <w:r w:rsidRPr="008F3B2F">
        <w:rPr>
          <w:lang w:val="be-BY"/>
        </w:rPr>
        <w:t>, 2012. – С. 143–145.</w:t>
      </w:r>
    </w:p>
    <w:p w:rsidR="00872F15" w:rsidRPr="00872F15" w:rsidRDefault="00872F15" w:rsidP="00872F15">
      <w:pPr>
        <w:spacing w:after="0" w:line="240" w:lineRule="auto"/>
        <w:ind w:firstLine="708"/>
        <w:jc w:val="both"/>
      </w:pPr>
      <w:r>
        <w:rPr>
          <w:b/>
          <w:lang w:val="be-BY"/>
        </w:rPr>
        <w:t>Ключевые слова</w:t>
      </w:r>
      <w:r w:rsidRPr="00872F15">
        <w:rPr>
          <w:lang w:val="be-BY"/>
        </w:rPr>
        <w:t>: вольные люди, помещик, земяне, бояре, шляхта</w:t>
      </w:r>
    </w:p>
    <w:p w:rsidR="00872F15" w:rsidRPr="00EF7BD8" w:rsidRDefault="00872F15" w:rsidP="00872F15">
      <w:pPr>
        <w:spacing w:after="0" w:line="240" w:lineRule="auto"/>
        <w:rPr>
          <w:lang w:val="be-BY"/>
        </w:rPr>
      </w:pPr>
    </w:p>
    <w:p w:rsidR="00872F15" w:rsidRDefault="00872F15" w:rsidP="00872F15">
      <w:pPr>
        <w:spacing w:after="0" w:line="240" w:lineRule="auto"/>
        <w:ind w:firstLine="708"/>
        <w:jc w:val="both"/>
      </w:pPr>
      <w:r>
        <w:t>Небольшое число крестьян Беларуси относилось к так называемым «свободным батракам» или вольным людям, которые имели право селиться по своему выбору в сельской местности или в городах, приобретать землю в собственность и право свободного передвижения [1, с. 68]. Однако законодательство не определяло отношение вольных людей к помещикам или к государству, на землях которых жило большинство из них. В середине XIX в. в указе о вольных крестьянах отмечалось, что «… подведомственность вольных людей, живущих на казенных и помещичьих землях, не была прежде определена законом» [2]. Эта неопределенность, как верно считал Н.Н. Улащик [1, с. 68], очень тяжело отразилась на состоянии вольных людей, так как помещики, пользуясь фактическим отсутствием доказательства и попустительством администрации, начали массово превращать вольных людей, живущих на их землях, в своих крепостных.</w:t>
      </w:r>
    </w:p>
    <w:p w:rsidR="00872F15" w:rsidRDefault="00872F15" w:rsidP="00872F15">
      <w:pPr>
        <w:spacing w:after="0" w:line="240" w:lineRule="auto"/>
        <w:ind w:firstLine="708"/>
        <w:jc w:val="right"/>
      </w:pPr>
      <w:r>
        <w:t>Таблица</w:t>
      </w:r>
    </w:p>
    <w:p w:rsidR="00872F15" w:rsidRDefault="00872F15" w:rsidP="00872F15">
      <w:pPr>
        <w:spacing w:after="0" w:line="240" w:lineRule="auto"/>
        <w:ind w:firstLine="708"/>
        <w:jc w:val="center"/>
      </w:pPr>
      <w:r>
        <w:t>Динамика численности вольных людей в Беларуси</w:t>
      </w:r>
    </w:p>
    <w:p w:rsidR="00872F15" w:rsidRDefault="00872F15" w:rsidP="00872F15">
      <w:pPr>
        <w:spacing w:after="0" w:line="240" w:lineRule="auto"/>
        <w:ind w:firstLine="708"/>
        <w:jc w:val="center"/>
      </w:pPr>
      <w:r>
        <w:t>в 30-е – 50-е гг. XIX в.</w:t>
      </w:r>
      <w:r>
        <w:rPr>
          <w:rStyle w:val="a5"/>
        </w:rPr>
        <w:footnoteReference w:customMarkFollows="1" w:id="2"/>
        <w:t>*</w:t>
      </w:r>
    </w:p>
    <w:p w:rsidR="00872F15" w:rsidRDefault="00872F15" w:rsidP="00872F15">
      <w:pPr>
        <w:spacing w:after="0" w:line="240" w:lineRule="auto"/>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3178"/>
        <w:gridCol w:w="3176"/>
      </w:tblGrid>
      <w:tr w:rsidR="00872F15" w:rsidRPr="000C1994" w:rsidTr="006911AF">
        <w:tc>
          <w:tcPr>
            <w:tcW w:w="3284" w:type="dxa"/>
          </w:tcPr>
          <w:p w:rsidR="00872F15" w:rsidRPr="008F3B2F" w:rsidRDefault="00872F15" w:rsidP="006911AF">
            <w:pPr>
              <w:spacing w:after="0" w:line="240" w:lineRule="auto"/>
              <w:jc w:val="center"/>
              <w:rPr>
                <w:b/>
              </w:rPr>
            </w:pPr>
            <w:r w:rsidRPr="008F3B2F">
              <w:rPr>
                <w:b/>
              </w:rPr>
              <w:t>Годы</w:t>
            </w:r>
          </w:p>
        </w:tc>
        <w:tc>
          <w:tcPr>
            <w:tcW w:w="3284" w:type="dxa"/>
          </w:tcPr>
          <w:p w:rsidR="00872F15" w:rsidRPr="008F3B2F" w:rsidRDefault="00872F15" w:rsidP="006911AF">
            <w:pPr>
              <w:spacing w:after="0" w:line="240" w:lineRule="auto"/>
              <w:jc w:val="center"/>
              <w:rPr>
                <w:b/>
              </w:rPr>
            </w:pPr>
            <w:r w:rsidRPr="008F3B2F">
              <w:rPr>
                <w:b/>
              </w:rPr>
              <w:t>1833</w:t>
            </w:r>
          </w:p>
        </w:tc>
        <w:tc>
          <w:tcPr>
            <w:tcW w:w="3285" w:type="dxa"/>
          </w:tcPr>
          <w:p w:rsidR="00872F15" w:rsidRPr="000C1994" w:rsidRDefault="00872F15" w:rsidP="006911AF">
            <w:pPr>
              <w:spacing w:after="0" w:line="240" w:lineRule="auto"/>
              <w:jc w:val="center"/>
            </w:pPr>
            <w:r w:rsidRPr="008F3B2F">
              <w:rPr>
                <w:b/>
              </w:rPr>
              <w:t>1858</w:t>
            </w:r>
          </w:p>
        </w:tc>
      </w:tr>
      <w:tr w:rsidR="00872F15" w:rsidTr="006911AF">
        <w:tc>
          <w:tcPr>
            <w:tcW w:w="3284" w:type="dxa"/>
          </w:tcPr>
          <w:p w:rsidR="00872F15" w:rsidRDefault="00872F15" w:rsidP="006911AF">
            <w:pPr>
              <w:spacing w:after="0" w:line="240" w:lineRule="auto"/>
              <w:jc w:val="both"/>
            </w:pPr>
            <w:r>
              <w:t>Численность (тыс. чел. обоего пола)</w:t>
            </w:r>
          </w:p>
        </w:tc>
        <w:tc>
          <w:tcPr>
            <w:tcW w:w="3284" w:type="dxa"/>
          </w:tcPr>
          <w:p w:rsidR="00872F15" w:rsidRDefault="00872F15" w:rsidP="006911AF">
            <w:pPr>
              <w:spacing w:after="0" w:line="240" w:lineRule="auto"/>
              <w:jc w:val="center"/>
            </w:pPr>
            <w:r>
              <w:t>145,5</w:t>
            </w:r>
          </w:p>
        </w:tc>
        <w:tc>
          <w:tcPr>
            <w:tcW w:w="3285" w:type="dxa"/>
          </w:tcPr>
          <w:p w:rsidR="00872F15" w:rsidRDefault="00872F15" w:rsidP="006911AF">
            <w:pPr>
              <w:spacing w:after="0" w:line="240" w:lineRule="auto"/>
              <w:jc w:val="center"/>
            </w:pPr>
            <w:r>
              <w:t>58</w:t>
            </w:r>
          </w:p>
        </w:tc>
      </w:tr>
      <w:tr w:rsidR="00872F15" w:rsidTr="006911AF">
        <w:tc>
          <w:tcPr>
            <w:tcW w:w="3284" w:type="dxa"/>
          </w:tcPr>
          <w:p w:rsidR="00872F15" w:rsidRDefault="00872F15" w:rsidP="006911AF">
            <w:pPr>
              <w:spacing w:after="0" w:line="240" w:lineRule="auto"/>
              <w:jc w:val="both"/>
            </w:pPr>
            <w:r>
              <w:t>В % ко всему населению</w:t>
            </w:r>
          </w:p>
        </w:tc>
        <w:tc>
          <w:tcPr>
            <w:tcW w:w="3284" w:type="dxa"/>
          </w:tcPr>
          <w:p w:rsidR="00872F15" w:rsidRDefault="00872F15" w:rsidP="006911AF">
            <w:pPr>
              <w:spacing w:after="0" w:line="240" w:lineRule="auto"/>
              <w:jc w:val="center"/>
            </w:pPr>
            <w:r>
              <w:t>5,1</w:t>
            </w:r>
          </w:p>
        </w:tc>
        <w:tc>
          <w:tcPr>
            <w:tcW w:w="3285" w:type="dxa"/>
          </w:tcPr>
          <w:p w:rsidR="00872F15" w:rsidRDefault="00872F15" w:rsidP="006911AF">
            <w:pPr>
              <w:spacing w:after="0" w:line="240" w:lineRule="auto"/>
              <w:jc w:val="center"/>
            </w:pPr>
            <w:r>
              <w:t>1,7</w:t>
            </w:r>
          </w:p>
        </w:tc>
      </w:tr>
    </w:tbl>
    <w:p w:rsidR="00872F15" w:rsidRDefault="00872F15" w:rsidP="00872F15">
      <w:pPr>
        <w:spacing w:after="0" w:line="240" w:lineRule="auto"/>
        <w:ind w:firstLine="708"/>
        <w:jc w:val="both"/>
      </w:pPr>
    </w:p>
    <w:p w:rsidR="00872F15" w:rsidRDefault="00872F15" w:rsidP="00872F15">
      <w:pPr>
        <w:spacing w:after="0" w:line="240" w:lineRule="auto"/>
        <w:ind w:firstLine="708"/>
        <w:jc w:val="both"/>
      </w:pPr>
      <w:r>
        <w:t>Данные таблицы позволяют сделать вывод, что численность вольных людей к концу 50-х годов XIX в. сократилась более чем в 2,5 раза. Ю. Юргенис, исследовавший историю литовского крестьянства, отмечал, что к вольным людям чаще всего относили земян и бояр, а действительно свободных или «похожих» людей было очень мало [3]. С ним соглашался и Н.Н. Улащик, отмечая, что в окладных книгах Министерства финансов и в статистических сводках первой половины XIX в. никаких сведений о боярах и земянах нет, из чего следует, что их записывали под каким-то другим названием, скорее всего это был термин «вольные люди» [1, с. 73].</w:t>
      </w:r>
    </w:p>
    <w:p w:rsidR="00872F15" w:rsidRDefault="00872F15" w:rsidP="00872F15">
      <w:pPr>
        <w:spacing w:after="0" w:line="240" w:lineRule="auto"/>
        <w:ind w:firstLine="708"/>
        <w:jc w:val="both"/>
      </w:pPr>
      <w:r>
        <w:lastRenderedPageBreak/>
        <w:t>Промежуточное положение между низшими слоями шляхты и верхушкой крестьянства занимали панцирные и путные бояре. Панцирные бояре проживали только в восточной Беларуси, путные бояре и земяне – на всей территории белорусских губерний [4, с. 35–37, 49].</w:t>
      </w:r>
    </w:p>
    <w:p w:rsidR="00872F15" w:rsidRDefault="00872F15" w:rsidP="00872F15">
      <w:pPr>
        <w:spacing w:after="0" w:line="240" w:lineRule="auto"/>
        <w:ind w:firstLine="708"/>
        <w:jc w:val="both"/>
      </w:pPr>
      <w:r>
        <w:t>Кроме бояр и земян к вольным людям относились и другие социальные группы населения Беларуси: русские старообрядцы и другие «российские подданные» [5]; выходцы из Польши; крестьяне, получившие каким-то образом свободу (выкуп, за службу, по договору или соглашению сторон и т. п.); евреи, принявшие христианство [6]; иностранцы; вольные работные люди на вотчинных предприятиях; вольные крестьяне при церквях и костелах; «находившиеся в богодельнях нищие, убогие и сироты»; татары [7]. Были среди вольных людей и шляхтичи, не доказавшие своей принадлежности к дворянству Российской империи [8].</w:t>
      </w:r>
    </w:p>
    <w:p w:rsidR="00872F15" w:rsidRDefault="00872F15" w:rsidP="00872F15">
      <w:pPr>
        <w:spacing w:after="0" w:line="240" w:lineRule="auto"/>
        <w:ind w:firstLine="708"/>
        <w:jc w:val="both"/>
      </w:pPr>
      <w:r>
        <w:t>Все вольные люди во время проведения переписи должны были записываться в ревизские сказки «с указанием экономических и иных особенностей их положения и с точным указанием, что они суть люди вольные и пребывающие на землях казенных или владельческих по условиям». Необходимо было при проведении ревизии отдельно записывать земян (отмечая, что они тоже вольные) и отдельно – пилипонов (русских старообрядцев) [9]. Затем вышел указ, запрещавших передвижения русским старообрядцам, если они жили на государственных или помещичьих землях без письменного договора. При проведении следующей ревизии они должны были быть записаны по месту жительства как крепостные помещичьи или государственные крестьяне [10]. Кроме того, вольные люди, жившие в городах и на помещичьих землях, были обложены податью сверх подушной еще по 5 руб. с души [11].</w:t>
      </w:r>
    </w:p>
    <w:p w:rsidR="00872F15" w:rsidRDefault="00872F15" w:rsidP="00872F15">
      <w:pPr>
        <w:spacing w:after="0" w:line="240" w:lineRule="auto"/>
        <w:ind w:firstLine="708"/>
        <w:jc w:val="both"/>
      </w:pPr>
      <w:r>
        <w:t>23 мая 1847 г. выходит указ о вольных людях [</w:t>
      </w:r>
      <w:r w:rsidRPr="009D6097">
        <w:t>12</w:t>
      </w:r>
      <w:r>
        <w:t>], по которому они не имели права покидать имения, где постоянно жили без ведома владельца земли, но только по истечении срока договора, который они обязаны были заключить с помещиками не менее чем на 6 лет. Иными словами, вольные люди были той категорией людей, которые были резервом пополнения рядов крепостных и государственных крестьян. Однако, несмотря на пополнение за счет вольных людей и других категорий крестьян, численность крепостных крестьян все время сокращалась, что приводило к снижению уровня развития сельскохозяйственного производства.</w:t>
      </w:r>
    </w:p>
    <w:p w:rsidR="00872F15" w:rsidRPr="009D6097" w:rsidRDefault="00872F15" w:rsidP="00872F15">
      <w:pPr>
        <w:spacing w:after="0" w:line="240" w:lineRule="auto"/>
        <w:ind w:firstLine="708"/>
        <w:jc w:val="both"/>
      </w:pPr>
      <w:r>
        <w:t>Таким образом, численность так называемых «свободных батраков» или вольных людей к середине XIX в. резко сократилась, что было вызвано не только стремлением помещиков закрепостить их, но и усилением налогового гнета со стороны российского самодержавия.</w:t>
      </w:r>
    </w:p>
    <w:p w:rsidR="00872F15" w:rsidRPr="008F3B2F" w:rsidRDefault="00872F15" w:rsidP="00872F15">
      <w:pPr>
        <w:spacing w:after="0" w:line="240" w:lineRule="auto"/>
        <w:ind w:firstLine="708"/>
        <w:jc w:val="center"/>
        <w:rPr>
          <w:b/>
        </w:rPr>
      </w:pPr>
      <w:r w:rsidRPr="008F3B2F">
        <w:rPr>
          <w:b/>
        </w:rPr>
        <w:t>Литература</w:t>
      </w:r>
    </w:p>
    <w:p w:rsidR="00872F15" w:rsidRDefault="00872F15" w:rsidP="00872F15">
      <w:pPr>
        <w:spacing w:after="0" w:line="240" w:lineRule="auto"/>
        <w:ind w:firstLine="708"/>
        <w:jc w:val="both"/>
        <w:rPr>
          <w:lang w:val="be-BY"/>
        </w:rPr>
      </w:pPr>
      <w:r>
        <w:t xml:space="preserve">1. </w:t>
      </w:r>
      <w:r>
        <w:rPr>
          <w:lang w:val="be-BY"/>
        </w:rPr>
        <w:t>Улащик, Н.Н. Предпосылки крестьянской реформы 1861 г. в Литве и Западной Белоруссии / Н.Н. Улащик. – М.: Наука, 1965. – 479 с.</w:t>
      </w:r>
    </w:p>
    <w:p w:rsidR="00872F15" w:rsidRDefault="00872F15" w:rsidP="00872F15">
      <w:pPr>
        <w:spacing w:after="0" w:line="240" w:lineRule="auto"/>
        <w:ind w:firstLine="708"/>
        <w:jc w:val="both"/>
      </w:pPr>
      <w:r>
        <w:rPr>
          <w:lang w:val="be-BY"/>
        </w:rPr>
        <w:t xml:space="preserve">2. </w:t>
      </w:r>
      <w:r w:rsidRPr="00F941A4">
        <w:t>Полное собрание законов Российской империи</w:t>
      </w:r>
      <w:r>
        <w:t xml:space="preserve"> (ПСЗ). – 2-е изд. – Т. </w:t>
      </w:r>
      <w:r>
        <w:rPr>
          <w:lang w:val="en-US"/>
        </w:rPr>
        <w:t>X</w:t>
      </w:r>
      <w:r>
        <w:t>Х</w:t>
      </w:r>
      <w:r>
        <w:rPr>
          <w:lang w:val="en-US"/>
        </w:rPr>
        <w:t>VI</w:t>
      </w:r>
      <w:r w:rsidRPr="00F941A4">
        <w:t xml:space="preserve">. </w:t>
      </w:r>
      <w:r>
        <w:t>– Ст. 25480.</w:t>
      </w:r>
    </w:p>
    <w:p w:rsidR="00872F15" w:rsidRDefault="00872F15" w:rsidP="00872F15">
      <w:pPr>
        <w:spacing w:after="0" w:line="240" w:lineRule="auto"/>
        <w:ind w:firstLine="708"/>
        <w:jc w:val="both"/>
        <w:rPr>
          <w:lang w:val="be-BY"/>
        </w:rPr>
      </w:pPr>
      <w:r w:rsidRPr="00D64C50">
        <w:rPr>
          <w:lang w:val="en-US"/>
        </w:rPr>
        <w:lastRenderedPageBreak/>
        <w:t>3. Jurginis</w:t>
      </w:r>
      <w:r w:rsidRPr="006B2DC1">
        <w:rPr>
          <w:lang w:val="en-US"/>
        </w:rPr>
        <w:t>,</w:t>
      </w:r>
      <w:r>
        <w:rPr>
          <w:lang w:val="en-US"/>
        </w:rPr>
        <w:t xml:space="preserve"> J. Lietuvos valsticiai, vadinti baja</w:t>
      </w:r>
      <w:r w:rsidRPr="00D64C50">
        <w:rPr>
          <w:lang w:val="en-US"/>
        </w:rPr>
        <w:t xml:space="preserve">ras XVIII amz </w:t>
      </w:r>
      <w:r w:rsidRPr="006B2DC1">
        <w:rPr>
          <w:lang w:val="en-US"/>
        </w:rPr>
        <w:t xml:space="preserve">/ </w:t>
      </w:r>
      <w:r>
        <w:rPr>
          <w:lang w:val="en-US"/>
        </w:rPr>
        <w:t xml:space="preserve">J. </w:t>
      </w:r>
      <w:r w:rsidRPr="00D64C50">
        <w:rPr>
          <w:lang w:val="en-US"/>
        </w:rPr>
        <w:t>Jurginis // Lietuvos TSR Mo</w:t>
      </w:r>
      <w:r>
        <w:rPr>
          <w:lang w:val="en-US"/>
        </w:rPr>
        <w:t>kslu Akademijos darbai</w:t>
      </w:r>
      <w:r w:rsidRPr="00D64C50">
        <w:rPr>
          <w:lang w:val="en-US"/>
        </w:rPr>
        <w:t>. Ser. A. 2(7), 1959</w:t>
      </w:r>
      <w:r w:rsidRPr="006B2DC1">
        <w:rPr>
          <w:lang w:val="en-US"/>
        </w:rPr>
        <w:t>.</w:t>
      </w:r>
      <w:r>
        <w:rPr>
          <w:lang w:val="en-US"/>
        </w:rPr>
        <w:t xml:space="preserve"> – P. </w:t>
      </w:r>
      <w:r w:rsidRPr="00D05060">
        <w:rPr>
          <w:lang w:val="en-US"/>
        </w:rPr>
        <w:t>103</w:t>
      </w:r>
      <w:r>
        <w:rPr>
          <w:lang w:val="be-BY"/>
        </w:rPr>
        <w:t>–104.</w:t>
      </w:r>
    </w:p>
    <w:p w:rsidR="00872F15" w:rsidRDefault="00872F15" w:rsidP="00872F15">
      <w:pPr>
        <w:spacing w:after="0" w:line="240" w:lineRule="auto"/>
        <w:ind w:firstLine="708"/>
        <w:jc w:val="both"/>
        <w:rPr>
          <w:lang w:val="be-BY"/>
        </w:rPr>
      </w:pPr>
      <w:r w:rsidRPr="00EA2E53">
        <w:rPr>
          <w:lang w:val="en-US"/>
        </w:rPr>
        <w:t xml:space="preserve">4. </w:t>
      </w:r>
      <w:r w:rsidRPr="00C54016">
        <w:rPr>
          <w:lang w:val="be-BY"/>
        </w:rPr>
        <w:t xml:space="preserve">Кернажыцкі, К. Гаспадарка старостваў на Беларусі і эканамічны стан іх насельніцтва ў другой палове </w:t>
      </w:r>
      <w:r w:rsidRPr="00C54016">
        <w:rPr>
          <w:lang w:val="en-US"/>
        </w:rPr>
        <w:t>XVIII</w:t>
      </w:r>
      <w:r w:rsidRPr="00C54016">
        <w:rPr>
          <w:lang w:val="be-BY"/>
        </w:rPr>
        <w:t xml:space="preserve"> ст.: зап. аддз. гуманіст. навук. Працы класа гісторыі / К. Кернажыцкі. – Мінск, 1928</w:t>
      </w:r>
      <w:r>
        <w:rPr>
          <w:lang w:val="be-BY"/>
        </w:rPr>
        <w:t>. – Т. II.</w:t>
      </w:r>
    </w:p>
    <w:p w:rsidR="00872F15" w:rsidRDefault="00872F15" w:rsidP="00872F15">
      <w:pPr>
        <w:spacing w:after="0" w:line="240" w:lineRule="auto"/>
        <w:ind w:firstLine="708"/>
        <w:jc w:val="both"/>
        <w:rPr>
          <w:lang w:val="be-BY"/>
        </w:rPr>
      </w:pPr>
      <w:r>
        <w:rPr>
          <w:lang w:val="be-BY"/>
        </w:rPr>
        <w:t xml:space="preserve">5. Российский государственный исторический архив в Санкт-Петербурге (РГИА). </w:t>
      </w:r>
      <w:r w:rsidRPr="001D3AC4">
        <w:rPr>
          <w:lang w:val="be-BY"/>
        </w:rPr>
        <w:t>– Ф</w:t>
      </w:r>
      <w:r>
        <w:rPr>
          <w:lang w:val="be-BY"/>
        </w:rPr>
        <w:t>онд 1281. – Оп. 3. – Д. 60. – Л. 11; Оп. 4. – Д. 67. – Л. 92.</w:t>
      </w:r>
    </w:p>
    <w:p w:rsidR="00872F15" w:rsidRDefault="00872F15" w:rsidP="00872F15">
      <w:pPr>
        <w:spacing w:after="0" w:line="240" w:lineRule="auto"/>
        <w:ind w:firstLine="708"/>
        <w:jc w:val="both"/>
        <w:rPr>
          <w:lang w:val="be-BY"/>
        </w:rPr>
      </w:pPr>
      <w:r>
        <w:rPr>
          <w:lang w:val="be-BY"/>
        </w:rPr>
        <w:t>6. Государственный исторический архив Литвы (ГИАЛ). – Фонд 378. – Оп. 48. – Д. 1587. – Ч. 1. – Л. 224 об.–225.</w:t>
      </w:r>
    </w:p>
    <w:p w:rsidR="00872F15" w:rsidRDefault="00872F15" w:rsidP="00872F15">
      <w:pPr>
        <w:spacing w:after="0" w:line="240" w:lineRule="auto"/>
        <w:ind w:firstLine="708"/>
        <w:jc w:val="both"/>
      </w:pPr>
      <w:r>
        <w:rPr>
          <w:lang w:val="be-BY"/>
        </w:rPr>
        <w:t xml:space="preserve">7. </w:t>
      </w:r>
      <w:r>
        <w:t>РГИА. – Фонд 571. – Оп. 9. – Д. 1860. – Л. 137–139.</w:t>
      </w:r>
    </w:p>
    <w:p w:rsidR="00872F15" w:rsidRDefault="00872F15" w:rsidP="00872F15">
      <w:pPr>
        <w:spacing w:after="0" w:line="240" w:lineRule="auto"/>
        <w:ind w:firstLine="708"/>
        <w:jc w:val="both"/>
      </w:pPr>
      <w:r>
        <w:t>8. РГИА. – Фонд 1266. – Оп. 1. – Д. 7. – Л. 3–4; Д. 9. – Л. 17.</w:t>
      </w:r>
    </w:p>
    <w:p w:rsidR="00872F15" w:rsidRDefault="00872F15" w:rsidP="00872F15">
      <w:pPr>
        <w:spacing w:after="0" w:line="240" w:lineRule="auto"/>
        <w:ind w:firstLine="708"/>
        <w:jc w:val="both"/>
      </w:pPr>
      <w:r>
        <w:t xml:space="preserve">9. </w:t>
      </w:r>
      <w:r w:rsidRPr="00F7123D">
        <w:rPr>
          <w:lang w:val="be-BY"/>
        </w:rPr>
        <w:t xml:space="preserve">Жукович, П.Н. Сословный состав населения западной России / П.Н. Жукович // ЖМНБ. – 1915. </w:t>
      </w:r>
      <w:r w:rsidRPr="00F7123D">
        <w:t>–</w:t>
      </w:r>
      <w:r w:rsidRPr="00F7123D">
        <w:rPr>
          <w:lang w:val="be-BY"/>
        </w:rPr>
        <w:t xml:space="preserve"> № 5</w:t>
      </w:r>
      <w:r>
        <w:rPr>
          <w:lang w:val="be-BY"/>
        </w:rPr>
        <w:t>. – С. 152</w:t>
      </w:r>
      <w:r w:rsidRPr="00F7123D">
        <w:t>–</w:t>
      </w:r>
      <w:r>
        <w:t>154.</w:t>
      </w:r>
    </w:p>
    <w:p w:rsidR="00872F15" w:rsidRDefault="00872F15" w:rsidP="00872F15">
      <w:pPr>
        <w:spacing w:after="0" w:line="240" w:lineRule="auto"/>
        <w:ind w:firstLine="708"/>
        <w:jc w:val="both"/>
      </w:pPr>
      <w:r>
        <w:t xml:space="preserve">10. ПСЗ. – 1-е изд. – Т. </w:t>
      </w:r>
      <w:r>
        <w:rPr>
          <w:lang w:val="en-US"/>
        </w:rPr>
        <w:t>XXIX</w:t>
      </w:r>
      <w:r w:rsidRPr="007F3957">
        <w:t>. – Ст.</w:t>
      </w:r>
      <w:r>
        <w:t xml:space="preserve"> 22085.</w:t>
      </w:r>
    </w:p>
    <w:p w:rsidR="00872F15" w:rsidRPr="008F3B2F" w:rsidRDefault="00872F15" w:rsidP="00872F15">
      <w:pPr>
        <w:spacing w:after="0" w:line="240" w:lineRule="auto"/>
        <w:ind w:firstLine="708"/>
        <w:jc w:val="both"/>
      </w:pPr>
      <w:r>
        <w:t xml:space="preserve">11. ПСЗ. – 1-е изд. – Т. </w:t>
      </w:r>
      <w:r>
        <w:rPr>
          <w:lang w:val="en-US"/>
        </w:rPr>
        <w:t>XX</w:t>
      </w:r>
      <w:r>
        <w:t>Х</w:t>
      </w:r>
      <w:r>
        <w:rPr>
          <w:lang w:val="en-US"/>
        </w:rPr>
        <w:t>I</w:t>
      </w:r>
      <w:r w:rsidRPr="007F3957">
        <w:t>. – Ст.</w:t>
      </w:r>
      <w:r>
        <w:t xml:space="preserve"> 24999.</w:t>
      </w:r>
    </w:p>
    <w:p w:rsidR="00872F15" w:rsidRPr="009D6097" w:rsidRDefault="00872F15" w:rsidP="00872F15">
      <w:pPr>
        <w:spacing w:after="0" w:line="240" w:lineRule="auto"/>
        <w:ind w:firstLine="708"/>
        <w:jc w:val="both"/>
      </w:pPr>
      <w:r w:rsidRPr="009D6097">
        <w:t>12. ПСЗ. – 2-</w:t>
      </w:r>
      <w:r>
        <w:t>е изд. – Т. ХХП. – Ст. 21242.</w:t>
      </w:r>
    </w:p>
    <w:p w:rsidR="00872F15" w:rsidRDefault="00872F15" w:rsidP="00872F15">
      <w:pPr>
        <w:spacing w:after="0" w:line="240" w:lineRule="auto"/>
        <w:ind w:firstLine="708"/>
        <w:jc w:val="both"/>
        <w:rPr>
          <w:lang w:val="be-BY"/>
        </w:rPr>
      </w:pPr>
    </w:p>
    <w:sectPr w:rsidR="00872F15" w:rsidSect="00A374F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917" w:rsidRDefault="00AD4917" w:rsidP="00872F15">
      <w:pPr>
        <w:spacing w:after="0" w:line="240" w:lineRule="auto"/>
      </w:pPr>
      <w:r>
        <w:separator/>
      </w:r>
    </w:p>
  </w:endnote>
  <w:endnote w:type="continuationSeparator" w:id="1">
    <w:p w:rsidR="00AD4917" w:rsidRDefault="00AD4917" w:rsidP="00872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917" w:rsidRDefault="00AD4917" w:rsidP="00872F15">
      <w:pPr>
        <w:spacing w:after="0" w:line="240" w:lineRule="auto"/>
      </w:pPr>
      <w:r>
        <w:separator/>
      </w:r>
    </w:p>
  </w:footnote>
  <w:footnote w:type="continuationSeparator" w:id="1">
    <w:p w:rsidR="00AD4917" w:rsidRDefault="00AD4917" w:rsidP="00872F15">
      <w:pPr>
        <w:spacing w:after="0" w:line="240" w:lineRule="auto"/>
      </w:pPr>
      <w:r>
        <w:continuationSeparator/>
      </w:r>
    </w:p>
  </w:footnote>
  <w:footnote w:id="2">
    <w:p w:rsidR="00872F15" w:rsidRPr="00E9158E" w:rsidRDefault="00872F15" w:rsidP="00872F15">
      <w:pPr>
        <w:pStyle w:val="a3"/>
        <w:jc w:val="both"/>
      </w:pPr>
      <w:r>
        <w:rPr>
          <w:rStyle w:val="a5"/>
        </w:rPr>
        <w:t>*</w:t>
      </w:r>
      <w:r>
        <w:t xml:space="preserve"> Таблица составлена на основании данных: </w:t>
      </w:r>
      <w:r w:rsidRPr="00E9158E">
        <w:rPr>
          <w:lang w:val="be-BY"/>
        </w:rPr>
        <w:t>Российский государственный исторический архив в Санкт-Петербурге (РГИА). – Ф</w:t>
      </w:r>
      <w:r>
        <w:rPr>
          <w:lang w:val="be-BY"/>
        </w:rPr>
        <w:t xml:space="preserve">онд 571. – Оп. 6. – Д. 1023. – Л. 20–23, 168–168 об., 332–340; Д. 1024. – Л. 40–47; Оп. 9. – Д. 14, 32, 4953; Центральный государственный архив древних актов (ЦГАДА). – Фонд 248. – Оп. 58. – Д. 1288/4859. – Л. 567–568; Центральный государственный военно-исторический архив (ЦГВИА). – Фонд 23. – Оп. 1. – Д. 1255. – Л. 284–285, 293; </w:t>
      </w:r>
      <w:r>
        <w:t xml:space="preserve">Переписи населения России. Вып. </w:t>
      </w:r>
      <w:r>
        <w:rPr>
          <w:lang w:val="en-US"/>
        </w:rPr>
        <w:t>IV</w:t>
      </w:r>
      <w:r>
        <w:t>–</w:t>
      </w:r>
      <w:r>
        <w:rPr>
          <w:lang w:val="en-US"/>
        </w:rPr>
        <w:t>XII</w:t>
      </w:r>
      <w:r>
        <w:t>. – М., 1972.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49" o:spid="_x0000_s3074" type="#_x0000_t136" style="position:absolute;margin-left:0;margin-top:0;width:586.2pt;height:73.25pt;rotation:315;z-index:-251654144;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50" o:spid="_x0000_s3075" type="#_x0000_t136" style="position:absolute;margin-left:0;margin-top:0;width:586.2pt;height:73.25pt;rotation:315;z-index:-251652096;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53" w:rsidRDefault="00EA2E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48" o:spid="_x0000_s3073" type="#_x0000_t136" style="position:absolute;margin-left:0;margin-top:0;width:586.2pt;height:73.25pt;rotation:315;z-index:-251656192;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72F15"/>
    <w:rsid w:val="000E02CF"/>
    <w:rsid w:val="00872F15"/>
    <w:rsid w:val="00A374F6"/>
    <w:rsid w:val="00A67484"/>
    <w:rsid w:val="00AD4917"/>
    <w:rsid w:val="00EA2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1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72F15"/>
    <w:pPr>
      <w:spacing w:after="0" w:line="240" w:lineRule="auto"/>
    </w:pPr>
    <w:rPr>
      <w:rFonts w:eastAsia="Times New Roman"/>
      <w:sz w:val="20"/>
      <w:szCs w:val="20"/>
      <w:lang w:eastAsia="ru-RU"/>
    </w:rPr>
  </w:style>
  <w:style w:type="character" w:customStyle="1" w:styleId="a4">
    <w:name w:val="Текст сноски Знак"/>
    <w:basedOn w:val="a0"/>
    <w:link w:val="a3"/>
    <w:semiHidden/>
    <w:rsid w:val="00872F15"/>
    <w:rPr>
      <w:rFonts w:ascii="Times New Roman" w:eastAsia="Times New Roman" w:hAnsi="Times New Roman" w:cs="Times New Roman"/>
      <w:sz w:val="20"/>
      <w:szCs w:val="20"/>
      <w:lang w:eastAsia="ru-RU"/>
    </w:rPr>
  </w:style>
  <w:style w:type="character" w:styleId="a5">
    <w:name w:val="footnote reference"/>
    <w:basedOn w:val="a0"/>
    <w:semiHidden/>
    <w:rsid w:val="00872F15"/>
    <w:rPr>
      <w:vertAlign w:val="superscript"/>
    </w:rPr>
  </w:style>
  <w:style w:type="paragraph" w:styleId="a6">
    <w:name w:val="header"/>
    <w:basedOn w:val="a"/>
    <w:link w:val="a7"/>
    <w:uiPriority w:val="99"/>
    <w:semiHidden/>
    <w:unhideWhenUsed/>
    <w:rsid w:val="00EA2E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2E53"/>
    <w:rPr>
      <w:rFonts w:ascii="Times New Roman" w:eastAsia="Calibri" w:hAnsi="Times New Roman" w:cs="Times New Roman"/>
      <w:sz w:val="28"/>
      <w:szCs w:val="28"/>
    </w:rPr>
  </w:style>
  <w:style w:type="paragraph" w:styleId="a8">
    <w:name w:val="footer"/>
    <w:basedOn w:val="a"/>
    <w:link w:val="a9"/>
    <w:uiPriority w:val="99"/>
    <w:semiHidden/>
    <w:unhideWhenUsed/>
    <w:rsid w:val="00EA2E5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A2E53"/>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Company>Microsoft</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SHU_VIRTUAL</cp:lastModifiedBy>
  <cp:revision>3</cp:revision>
  <dcterms:created xsi:type="dcterms:W3CDTF">2015-01-24T06:16:00Z</dcterms:created>
  <dcterms:modified xsi:type="dcterms:W3CDTF">2015-01-24T09:24:00Z</dcterms:modified>
</cp:coreProperties>
</file>