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82F" w:rsidRDefault="007A782F" w:rsidP="007A782F">
      <w:pPr>
        <w:spacing w:after="0"/>
        <w:jc w:val="center"/>
      </w:pPr>
    </w:p>
    <w:p w:rsidR="007A782F" w:rsidRDefault="007A782F" w:rsidP="007A782F">
      <w:pPr>
        <w:spacing w:after="0" w:line="240" w:lineRule="auto"/>
        <w:jc w:val="center"/>
        <w:rPr>
          <w:b/>
        </w:rPr>
      </w:pPr>
      <w:r>
        <w:rPr>
          <w:b/>
        </w:rPr>
        <w:t>ОСНОВНЫЕ ИСТОЧНИКИ ИЗУЧЕНИЯ ЧИСЛЕННОСТИ</w:t>
      </w:r>
    </w:p>
    <w:p w:rsidR="007A782F" w:rsidRDefault="007A782F" w:rsidP="007A782F">
      <w:pPr>
        <w:spacing w:after="0" w:line="240" w:lineRule="auto"/>
        <w:jc w:val="center"/>
        <w:rPr>
          <w:b/>
        </w:rPr>
      </w:pPr>
      <w:r>
        <w:rPr>
          <w:b/>
        </w:rPr>
        <w:t>ГОРОДСКОГО НАСЕЛЕНИЯ</w:t>
      </w:r>
      <w:r w:rsidRPr="00E805F4">
        <w:rPr>
          <w:b/>
          <w:lang w:val="be-BY"/>
        </w:rPr>
        <w:t xml:space="preserve"> </w:t>
      </w:r>
      <w:r>
        <w:rPr>
          <w:b/>
          <w:lang w:val="be-BY"/>
        </w:rPr>
        <w:t xml:space="preserve">В </w:t>
      </w:r>
      <w:r>
        <w:rPr>
          <w:b/>
        </w:rPr>
        <w:t>БЕЛАРУСИ</w:t>
      </w:r>
    </w:p>
    <w:p w:rsidR="007A782F" w:rsidRDefault="007A782F" w:rsidP="007A782F">
      <w:pPr>
        <w:spacing w:after="0" w:line="240" w:lineRule="auto"/>
        <w:jc w:val="center"/>
        <w:rPr>
          <w:b/>
        </w:rPr>
      </w:pPr>
      <w:r>
        <w:rPr>
          <w:b/>
        </w:rPr>
        <w:t xml:space="preserve">(КОНЕЦ </w:t>
      </w:r>
      <w:r>
        <w:rPr>
          <w:b/>
          <w:lang w:val="en-US"/>
        </w:rPr>
        <w:t>XVIII</w:t>
      </w:r>
      <w:r w:rsidRPr="00135933">
        <w:rPr>
          <w:b/>
        </w:rPr>
        <w:t xml:space="preserve"> – </w:t>
      </w:r>
      <w:r>
        <w:rPr>
          <w:b/>
        </w:rPr>
        <w:t xml:space="preserve">ПЕРВАЯ ПОЛОВИНА </w:t>
      </w:r>
      <w:r>
        <w:rPr>
          <w:b/>
          <w:lang w:val="en-US"/>
        </w:rPr>
        <w:t>XIX</w:t>
      </w:r>
      <w:r>
        <w:rPr>
          <w:b/>
        </w:rPr>
        <w:t xml:space="preserve"> в.)</w:t>
      </w:r>
    </w:p>
    <w:p w:rsidR="007A782F" w:rsidRDefault="007A782F" w:rsidP="007A782F">
      <w:pPr>
        <w:spacing w:after="0" w:line="240" w:lineRule="auto"/>
        <w:ind w:firstLine="708"/>
        <w:jc w:val="both"/>
        <w:rPr>
          <w:lang w:val="be-BY"/>
        </w:rPr>
      </w:pPr>
      <w:r>
        <w:t xml:space="preserve">Лютый, А. М. Основные источники изучения численности городского населения в Беларуси (конец </w:t>
      </w:r>
      <w:r>
        <w:rPr>
          <w:lang w:val="en-US"/>
        </w:rPr>
        <w:t>XVIII</w:t>
      </w:r>
      <w:r w:rsidRPr="001678D1">
        <w:t xml:space="preserve"> </w:t>
      </w:r>
      <w:r>
        <w:t>–</w:t>
      </w:r>
      <w:r w:rsidRPr="001678D1">
        <w:t xml:space="preserve"> </w:t>
      </w:r>
      <w:r>
        <w:t xml:space="preserve">первая половина </w:t>
      </w:r>
      <w:r>
        <w:rPr>
          <w:lang w:val="en-US"/>
        </w:rPr>
        <w:t>XIX</w:t>
      </w:r>
      <w:r>
        <w:t xml:space="preserve"> в.)</w:t>
      </w:r>
      <w:r w:rsidRPr="00F93269">
        <w:t xml:space="preserve"> </w:t>
      </w:r>
      <w:r>
        <w:t xml:space="preserve">/ А. М. Лютый, А. Э. Лютая // </w:t>
      </w:r>
      <w:r>
        <w:rPr>
          <w:rFonts w:eastAsia="Times New Roman"/>
          <w:lang w:val="be-BY" w:eastAsia="ru-RU"/>
        </w:rPr>
        <w:t>Актуальныя праблемы айчыннай і сусветнай гісторыі</w:t>
      </w:r>
      <w:r>
        <w:rPr>
          <w:rFonts w:eastAsia="Times New Roman"/>
          <w:lang w:eastAsia="ru-RU"/>
        </w:rPr>
        <w:t xml:space="preserve"> </w:t>
      </w:r>
      <w:r>
        <w:t xml:space="preserve">: </w:t>
      </w:r>
      <w:r>
        <w:rPr>
          <w:lang w:val="be-BY"/>
        </w:rPr>
        <w:t>зб</w:t>
      </w:r>
      <w:r>
        <w:t>. на</w:t>
      </w:r>
      <w:r>
        <w:rPr>
          <w:lang w:val="be-BY"/>
        </w:rPr>
        <w:t>вук</w:t>
      </w:r>
      <w:r>
        <w:t>. а</w:t>
      </w:r>
      <w:r>
        <w:rPr>
          <w:lang w:val="be-BY"/>
        </w:rPr>
        <w:t>рт</w:t>
      </w:r>
      <w:r w:rsidRPr="00F93269">
        <w:t xml:space="preserve">. / </w:t>
      </w:r>
      <w:r>
        <w:rPr>
          <w:rFonts w:eastAsia="Times New Roman"/>
          <w:lang w:eastAsia="ru-RU"/>
        </w:rPr>
        <w:t>Бел</w:t>
      </w:r>
      <w:r>
        <w:rPr>
          <w:rFonts w:eastAsia="Times New Roman"/>
          <w:lang w:val="be-BY" w:eastAsia="ru-RU"/>
        </w:rPr>
        <w:t>а</w:t>
      </w:r>
      <w:r>
        <w:rPr>
          <w:rFonts w:eastAsia="Times New Roman"/>
          <w:lang w:eastAsia="ru-RU"/>
        </w:rPr>
        <w:t xml:space="preserve">рус. </w:t>
      </w:r>
      <w:r>
        <w:rPr>
          <w:rFonts w:eastAsia="Times New Roman"/>
          <w:lang w:val="be-BY" w:eastAsia="ru-RU"/>
        </w:rPr>
        <w:t>дзярж</w:t>
      </w:r>
      <w:r>
        <w:rPr>
          <w:rFonts w:eastAsia="Times New Roman"/>
          <w:lang w:eastAsia="ru-RU"/>
        </w:rPr>
        <w:t>. пед. ун-т ; р</w:t>
      </w:r>
      <w:r>
        <w:rPr>
          <w:rFonts w:eastAsia="Times New Roman"/>
          <w:lang w:val="be-BY" w:eastAsia="ru-RU"/>
        </w:rPr>
        <w:t>э</w:t>
      </w:r>
      <w:r>
        <w:rPr>
          <w:rFonts w:eastAsia="Times New Roman"/>
          <w:lang w:eastAsia="ru-RU"/>
        </w:rPr>
        <w:t>дк</w:t>
      </w:r>
      <w:r>
        <w:rPr>
          <w:rFonts w:eastAsia="Times New Roman"/>
          <w:lang w:val="be-BY" w:eastAsia="ru-RU"/>
        </w:rPr>
        <w:t>а</w:t>
      </w:r>
      <w:r>
        <w:rPr>
          <w:rFonts w:eastAsia="Times New Roman"/>
          <w:lang w:eastAsia="ru-RU"/>
        </w:rPr>
        <w:t xml:space="preserve">л. : </w:t>
      </w:r>
      <w:r>
        <w:rPr>
          <w:rFonts w:eastAsia="Times New Roman"/>
          <w:lang w:val="be-BY" w:eastAsia="ru-RU"/>
        </w:rPr>
        <w:t>А</w:t>
      </w:r>
      <w:r>
        <w:rPr>
          <w:rFonts w:eastAsia="Times New Roman"/>
          <w:lang w:eastAsia="ru-RU"/>
        </w:rPr>
        <w:t xml:space="preserve">. </w:t>
      </w:r>
      <w:r>
        <w:rPr>
          <w:rFonts w:eastAsia="Times New Roman"/>
          <w:lang w:val="be-BY" w:eastAsia="ru-RU"/>
        </w:rPr>
        <w:t>П</w:t>
      </w:r>
      <w:r>
        <w:rPr>
          <w:rFonts w:eastAsia="Times New Roman"/>
          <w:lang w:eastAsia="ru-RU"/>
        </w:rPr>
        <w:t xml:space="preserve">. </w:t>
      </w:r>
      <w:r>
        <w:rPr>
          <w:rFonts w:eastAsia="Times New Roman"/>
          <w:lang w:val="be-BY" w:eastAsia="ru-RU"/>
        </w:rPr>
        <w:t>Жытко</w:t>
      </w:r>
      <w:r>
        <w:rPr>
          <w:rFonts w:eastAsia="Times New Roman"/>
          <w:lang w:eastAsia="ru-RU"/>
        </w:rPr>
        <w:t xml:space="preserve"> (</w:t>
      </w:r>
      <w:r>
        <w:rPr>
          <w:rFonts w:eastAsia="Times New Roman"/>
          <w:lang w:val="be-BY" w:eastAsia="ru-RU"/>
        </w:rPr>
        <w:t>адк</w:t>
      </w:r>
      <w:r>
        <w:rPr>
          <w:rFonts w:eastAsia="Times New Roman"/>
          <w:lang w:eastAsia="ru-RU"/>
        </w:rPr>
        <w:t>. р</w:t>
      </w:r>
      <w:r>
        <w:rPr>
          <w:rFonts w:eastAsia="Times New Roman"/>
          <w:lang w:val="be-BY" w:eastAsia="ru-RU"/>
        </w:rPr>
        <w:t>э</w:t>
      </w:r>
      <w:r>
        <w:rPr>
          <w:rFonts w:eastAsia="Times New Roman"/>
          <w:lang w:eastAsia="ru-RU"/>
        </w:rPr>
        <w:t xml:space="preserve">д.) </w:t>
      </w:r>
      <w:r w:rsidRPr="00BE65D6">
        <w:rPr>
          <w:rFonts w:eastAsia="Times New Roman"/>
          <w:lang w:eastAsia="ru-RU"/>
        </w:rPr>
        <w:t>[</w:t>
      </w:r>
      <w:r>
        <w:rPr>
          <w:rFonts w:eastAsia="Times New Roman"/>
          <w:lang w:val="be-BY" w:eastAsia="ru-RU"/>
        </w:rPr>
        <w:t>і інш</w:t>
      </w:r>
      <w:r>
        <w:rPr>
          <w:rFonts w:eastAsia="Times New Roman"/>
          <w:lang w:eastAsia="ru-RU"/>
        </w:rPr>
        <w:t>.</w:t>
      </w:r>
      <w:r w:rsidRPr="00BE65D6">
        <w:rPr>
          <w:rFonts w:eastAsia="Times New Roman"/>
          <w:lang w:eastAsia="ru-RU"/>
        </w:rPr>
        <w:t>]</w:t>
      </w:r>
      <w:r>
        <w:rPr>
          <w:rFonts w:eastAsia="Times New Roman"/>
          <w:lang w:eastAsia="ru-RU"/>
        </w:rPr>
        <w:t>. – Минск, 201</w:t>
      </w:r>
      <w:r>
        <w:rPr>
          <w:rFonts w:eastAsia="Times New Roman"/>
          <w:lang w:val="be-BY" w:eastAsia="ru-RU"/>
        </w:rPr>
        <w:t>3</w:t>
      </w:r>
      <w:r>
        <w:rPr>
          <w:rFonts w:eastAsia="Times New Roman"/>
          <w:lang w:eastAsia="ru-RU"/>
        </w:rPr>
        <w:t>.</w:t>
      </w:r>
      <w:r w:rsidRPr="00F93269">
        <w:t xml:space="preserve"> </w:t>
      </w:r>
      <w:r w:rsidRPr="00F93269">
        <w:sym w:font="Symbol" w:char="F02D"/>
      </w:r>
      <w:r>
        <w:t xml:space="preserve"> С. 2</w:t>
      </w:r>
      <w:r>
        <w:rPr>
          <w:lang w:val="be-BY"/>
        </w:rPr>
        <w:t>1</w:t>
      </w:r>
      <w:r w:rsidRPr="00F93269">
        <w:sym w:font="Symbol" w:char="F02D"/>
      </w:r>
      <w:r>
        <w:t>2</w:t>
      </w:r>
      <w:r>
        <w:rPr>
          <w:lang w:val="be-BY"/>
        </w:rPr>
        <w:t>7.</w:t>
      </w:r>
    </w:p>
    <w:p w:rsidR="007A782F" w:rsidRPr="00A24714" w:rsidRDefault="007A782F" w:rsidP="007A782F">
      <w:pPr>
        <w:spacing w:after="0" w:line="240" w:lineRule="auto"/>
        <w:jc w:val="both"/>
      </w:pPr>
      <w:r>
        <w:rPr>
          <w:b/>
        </w:rPr>
        <w:tab/>
        <w:t xml:space="preserve">Ключевые слова: </w:t>
      </w:r>
      <w:r>
        <w:t>источники, капитализм, местечки, кагал, ревизия.</w:t>
      </w:r>
    </w:p>
    <w:p w:rsidR="007A782F" w:rsidRPr="009A3186" w:rsidRDefault="007A782F" w:rsidP="007A782F">
      <w:pPr>
        <w:spacing w:after="0" w:line="240" w:lineRule="auto"/>
        <w:jc w:val="center"/>
        <w:rPr>
          <w:b/>
          <w:lang w:val="be-BY"/>
        </w:rPr>
      </w:pPr>
    </w:p>
    <w:p w:rsidR="007A782F" w:rsidRDefault="007A782F" w:rsidP="007A782F">
      <w:pPr>
        <w:spacing w:after="0" w:line="240" w:lineRule="auto"/>
        <w:ind w:firstLine="708"/>
        <w:jc w:val="both"/>
      </w:pPr>
      <w:r>
        <w:t xml:space="preserve">В конце </w:t>
      </w:r>
      <w:r>
        <w:rPr>
          <w:lang w:val="en-US"/>
        </w:rPr>
        <w:t>XVIII</w:t>
      </w:r>
      <w:r w:rsidRPr="00455E56">
        <w:t xml:space="preserve"> – первой </w:t>
      </w:r>
      <w:r>
        <w:t xml:space="preserve">половине XIX в. наблюдался значительный рост численности населения городов и местечек Беларуси, что свидетельствовало об углублении процесса общественного разделения труда. К. Маркс писал, что каждому отдельному историческому способу производства свойственен свой особый, имеющий историческое значение закон народонаселения [1, с. 646]. В конкретных исторических условиях изменение численности и состава населения может заметным образом влиять на экономику той или другой страны. В.И. Ленин писал: «Условия размножения… зависят от устройства различных социальных организмов, и потому закон народонаселения надо изучать для каждого такого организма отдельно, а не «абстрактно», без отношения к исторически различным формам общественного устройства» </w:t>
      </w:r>
      <w:r w:rsidRPr="00DC54FB">
        <w:t>[</w:t>
      </w:r>
      <w:r>
        <w:t>2, с. 476</w:t>
      </w:r>
      <w:r w:rsidRPr="00DC54FB">
        <w:t>]</w:t>
      </w:r>
      <w:r>
        <w:t>.</w:t>
      </w:r>
    </w:p>
    <w:p w:rsidR="007A782F" w:rsidRDefault="007A782F" w:rsidP="007A782F">
      <w:pPr>
        <w:spacing w:after="0" w:line="240" w:lineRule="auto"/>
        <w:jc w:val="both"/>
      </w:pPr>
      <w:r>
        <w:tab/>
        <w:t>В период разложения феодализма и зарождения капиталистических отношений во всех странах происходил рост торгово-промышленного населения, сосредоточенного главным образом в городах и местечках. В.И. Ленин отмечал: «…Нельзя себе представить капитализма без увеличения торгово-промышленного населения на счет земледельческого, и всякий знает, что это явление самым рельефным образом обнаруживается во всех капиталистических странах» [3, с. 25].</w:t>
      </w:r>
    </w:p>
    <w:p w:rsidR="007A782F" w:rsidRDefault="007A782F" w:rsidP="007A782F">
      <w:pPr>
        <w:spacing w:after="0" w:line="240" w:lineRule="auto"/>
        <w:jc w:val="both"/>
        <w:rPr>
          <w:lang w:val="be-BY"/>
        </w:rPr>
      </w:pPr>
      <w:r>
        <w:tab/>
        <w:t xml:space="preserve">Основной статистический материал при исследовании вопроса об изменении численности городского населения может быть почерпнут из опубликованных данных переписей (IV – XII) населения России [4], статистических таблиц второй четверти </w:t>
      </w:r>
      <w:r>
        <w:rPr>
          <w:lang w:val="en-US"/>
        </w:rPr>
        <w:t>XIX</w:t>
      </w:r>
      <w:r>
        <w:t xml:space="preserve"> в., а также административно-полицейских отчетов, хранящихся в архивах Санкт-Петербурга, Вильнюса, Минска и Гродно. Данные ревизий явились основной и наиболее полной формой учета населения России в конце XVIII – первой половине XIX в. Данные церковного учета отличались меньшей степенью полноты и точности: они позволяют лишь в общих чертах воссоздать картину изменения численности населения православного исповедания. </w:t>
      </w:r>
      <w:r>
        <w:rPr>
          <w:lang w:val="be-BY"/>
        </w:rPr>
        <w:t>Только со второй половіны XIX в. точность метрических данных приближается к точности подсчета населения по ревизиям и административно-полицейским исчислениям. Регистрация населения неправославных исповеданий началась лишь с 30-х годов XIX в. и отличалась еще меньшей точностью [</w:t>
      </w:r>
      <w:r>
        <w:t>5, с. 81</w:t>
      </w:r>
      <w:r>
        <w:rPr>
          <w:lang w:val="be-BY"/>
        </w:rPr>
        <w:t xml:space="preserve">]. Опубликованные «Итоговые материалы подворных переписей и ревизий </w:t>
      </w:r>
      <w:r>
        <w:rPr>
          <w:lang w:val="be-BY"/>
        </w:rPr>
        <w:lastRenderedPageBreak/>
        <w:t>населения России (1646–1858)» включают данные о численности, сословном и вероисповедальном составе и поуездном размещении податного и части неподатного населения белорусских губерний, но только мужского пола.</w:t>
      </w:r>
    </w:p>
    <w:p w:rsidR="007A782F" w:rsidRDefault="007A782F" w:rsidP="007A782F">
      <w:pPr>
        <w:spacing w:after="0" w:line="240" w:lineRule="auto"/>
        <w:jc w:val="both"/>
      </w:pPr>
      <w:r>
        <w:rPr>
          <w:lang w:val="be-BY"/>
        </w:rPr>
        <w:tab/>
        <w:t>В основу наших подсчетов численности городского населения в Беларуси положены данные семи ревизий (IV–X)</w:t>
      </w:r>
      <w:r>
        <w:t>, поэтому периодизация в основном соответствует годам проведения переписей, а точнее – конечным срокам подачи ревизских сказок: IV – 1786 г., V – 1796 г., VI – 1811 г., VII – 1815 г., VIII – 1833 г., IX – 1851 г., X – 1858 г. За начало периода взят 1782 г. – год проведения IV ревизии; перепись была проведена по Могилевскому и Полоцкому наместничествам. По Минской, Гродненской и Виленской губерниям сведения за 80-е годы XVIII в. почерпнуты из различных архивных и печатных источников. Между V и VI ревизиями большой промежуток времени, поэтому мы сочли возможным и нужным между этими годами взять 1803 г., за который имеются архивные данные о числе городского населения по всем городам Беларуси. Между VII и VIII ревизиями включен еще 1825 г., за который имеются данные о численности горожан Беларуси. Между VIII и IX ревизиями взят 1842 г., за который также имеются достаточно полные данные. 1861 г. является конечным годом изучаемого периода. Таким образом, нами сведены данные о численности городского населения за 11 периодов, промежутки между которыми равны в основном 7–10 годам. После Отечественной войны 1812 г. период значительно короче – 4 года, так как во время войны произошли большие изменения в численности населения большинства городов Беларуси.</w:t>
      </w:r>
    </w:p>
    <w:p w:rsidR="007A782F" w:rsidRDefault="007A782F" w:rsidP="007A782F">
      <w:pPr>
        <w:spacing w:after="0" w:line="240" w:lineRule="auto"/>
        <w:jc w:val="both"/>
      </w:pPr>
      <w:r>
        <w:tab/>
      </w:r>
      <w:r>
        <w:rPr>
          <w:lang w:val="en-US"/>
        </w:rPr>
        <w:t>IV</w:t>
      </w:r>
      <w:r w:rsidRPr="007D69C9">
        <w:t xml:space="preserve"> ревизия </w:t>
      </w:r>
      <w:r>
        <w:t xml:space="preserve">проводилась по манифесту от 16 ноября 1781 г. </w:t>
      </w:r>
      <w:r w:rsidRPr="007D69C9">
        <w:t>[</w:t>
      </w:r>
      <w:r>
        <w:t>6, 304–306</w:t>
      </w:r>
      <w:r w:rsidRPr="007D69C9">
        <w:t>]</w:t>
      </w:r>
      <w:r>
        <w:t xml:space="preserve">. По IV ревизии использована «Складная книга за 1786 г.» [7]. В ней полностью не учтены неподатные группы населения. Сведения о дворянах, приказных чинах, разночинцах, иностранцах и других категориях собирались неревизским путем в губернских канцеляриях. Эти материалы сохранились в многочисленных обозрениях, а также в топографических, статистических и камеральных описаниях губерний и наместничеств. Сбором ревизских сказок о городском населении ведали магистраты. Подлинники сказок сохранились в архивах уездных учреждений. 23 июня 1794 г. вышел указ о проведении </w:t>
      </w:r>
      <w:r>
        <w:rPr>
          <w:lang w:val="en-US"/>
        </w:rPr>
        <w:t>V</w:t>
      </w:r>
      <w:r>
        <w:t xml:space="preserve"> ревизии, которая была завершена в 1796 г. </w:t>
      </w:r>
      <w:r w:rsidRPr="001D7549">
        <w:t>[</w:t>
      </w:r>
      <w:r>
        <w:t>8, с. 709–710</w:t>
      </w:r>
      <w:r w:rsidRPr="001D7549">
        <w:t>]</w:t>
      </w:r>
      <w:r>
        <w:t xml:space="preserve">. Несмотря на штраф в размере 5 коп. с прописной души, после окончания ревизии было обнаружено значительное число пропущенных и беглых, поэтому правительство было вынуждено дважды – в 1799 и 1808 гг. – издавать указы о дополнительной подаче ревизских сказок </w:t>
      </w:r>
      <w:r w:rsidRPr="00E012BC">
        <w:t>[</w:t>
      </w:r>
      <w:r>
        <w:t>9</w:t>
      </w:r>
      <w:r w:rsidRPr="00E012BC">
        <w:t>]</w:t>
      </w:r>
      <w:r>
        <w:t xml:space="preserve">. В 1809 г. был издан указ сената, определявший наказание евреям, уклонившимся от переписи. Прописные евреи выселялись в украинские губернии с запретом селиться в городах и с правом заниматься только земледелием </w:t>
      </w:r>
      <w:r w:rsidRPr="00E012BC">
        <w:t>[</w:t>
      </w:r>
      <w:r>
        <w:t>10</w:t>
      </w:r>
      <w:r w:rsidRPr="00E012BC">
        <w:t>]</w:t>
      </w:r>
      <w:r>
        <w:t xml:space="preserve">. Это было вызвано тем, что многие беднейшие жители городов, в том числе еврейской национальности, уклонялись от переписи, чтобы не платить подати. Существование кагала облегчало уклонение от переписи, так как он выступал как представительная организация перед царскими административными </w:t>
      </w:r>
      <w:r>
        <w:lastRenderedPageBreak/>
        <w:t>органами. Кагал нес ответственность за уплату общей суммы подати, которая зависела от числа членов городского общества.</w:t>
      </w:r>
    </w:p>
    <w:p w:rsidR="007A782F" w:rsidRDefault="007A782F" w:rsidP="007A782F">
      <w:pPr>
        <w:spacing w:after="0" w:line="240" w:lineRule="auto"/>
        <w:jc w:val="both"/>
      </w:pPr>
      <w:r>
        <w:tab/>
      </w:r>
      <w:r>
        <w:rPr>
          <w:lang w:val="en-US"/>
        </w:rPr>
        <w:t>VI</w:t>
      </w:r>
      <w:r w:rsidRPr="00111650">
        <w:t xml:space="preserve"> ревизия была проведена во второй половине 1811 г. </w:t>
      </w:r>
      <w:r>
        <w:t xml:space="preserve">согласно указу от 18 мая 1811 г. </w:t>
      </w:r>
      <w:r w:rsidRPr="00BC707E">
        <w:t>[</w:t>
      </w:r>
      <w:r>
        <w:t>11, с. 651–653</w:t>
      </w:r>
      <w:r w:rsidRPr="00BC707E">
        <w:t>]</w:t>
      </w:r>
      <w:r>
        <w:t>. Сбором ревизских сказок и суммированием их данных ведали уездные ревизские комиссии. Ревизские сказки о купцах и мещанах должны были подавать городской голова и старосты, а где таких не было, − магистраты или ратуши [12]. Ревизия проводилась наспех, были учтены только лица мужского пола. Во время проведения ревизии оказались неучтенными податные сословия. Были установлены более строгие наказания за утайку ревизских душ. Прописные души, обнаруженные на мирских сходах самим населением, уплачивали за себя казенные подати вдвойне за время, «которое они в окладе не состояли». Еще строже наказывались уклонившиеся от переписи, обнаруженные правительством: в таком случае сверх двойных податей уплачивалась пеня в сумме 500 руб., выборные же и другие старшины «того времени, когда утайка людей учинена», отдавались в работный дом на один год [5, с. 71]. Как и в XVIII в., доноситель об утайке, если он был крепостной, освобождался вместе с семьей от крепостной зависимости. Предельный срок подачи ревизских сказок был установлен в Европейской России до 1 января 1812 г. После этого они не принимались, а незаписанные в ревизию считались прописными. Проверку ревизских сказок своевременно провести не успели, так как началась Отечественная война 1812 г., поэтому в 1813 г. правительство потребовало проведения проверки и представления дополнительных сказок [13, с. 622–623].</w:t>
      </w:r>
    </w:p>
    <w:p w:rsidR="007A782F" w:rsidRDefault="007A782F" w:rsidP="007A782F">
      <w:pPr>
        <w:spacing w:after="0" w:line="240" w:lineRule="auto"/>
        <w:jc w:val="both"/>
      </w:pPr>
      <w:r>
        <w:tab/>
        <w:t xml:space="preserve">Крайняя недостоверность VI ревизии и большие изменения в составе и размещении населения на территории России в результате Отечественной войны 1812 г. обусловили необходимость проведения VII ревизии раньше намечавшихся сроков: указ о проведении новой ревизии был опубликован 20 июня 1815 г. </w:t>
      </w:r>
      <w:r w:rsidRPr="00B21D16">
        <w:t>[</w:t>
      </w:r>
      <w:r>
        <w:t>14, с. 207–213</w:t>
      </w:r>
      <w:r w:rsidRPr="00B21D16">
        <w:t>]</w:t>
      </w:r>
      <w:r>
        <w:t xml:space="preserve">. Ревизия была завершена в 1817 г., но ее неточность заставила неоднократно дополнять данные; проверка сведений этой ревизии продолжалась вплоть до 1835 г. </w:t>
      </w:r>
      <w:r w:rsidRPr="00B21D16">
        <w:t>[</w:t>
      </w:r>
      <w:r>
        <w:t>15, с. 216–217</w:t>
      </w:r>
      <w:r w:rsidRPr="00B21D16">
        <w:t>]</w:t>
      </w:r>
      <w:r>
        <w:t>.</w:t>
      </w:r>
    </w:p>
    <w:p w:rsidR="007A782F" w:rsidRDefault="007A782F" w:rsidP="007A782F">
      <w:pPr>
        <w:spacing w:after="0" w:line="240" w:lineRule="auto"/>
        <w:jc w:val="both"/>
      </w:pPr>
      <w:r>
        <w:tab/>
      </w:r>
      <w:r>
        <w:rPr>
          <w:lang w:val="en-US"/>
        </w:rPr>
        <w:t>VIII</w:t>
      </w:r>
      <w:r w:rsidRPr="00B21D16">
        <w:t xml:space="preserve"> ревизия была начата во второй половине 1833 г. </w:t>
      </w:r>
      <w:r>
        <w:t xml:space="preserve">согласно указу от 16 июня 1833 г. и затянулась до 1836 г.; проверка данных этой ревизии длилась до 1843 г. </w:t>
      </w:r>
      <w:r w:rsidRPr="00B21D16">
        <w:t>[</w:t>
      </w:r>
      <w:r>
        <w:t>5, 74</w:t>
      </w:r>
      <w:r w:rsidRPr="00B21D16">
        <w:t>]</w:t>
      </w:r>
      <w:r>
        <w:t>.</w:t>
      </w:r>
    </w:p>
    <w:p w:rsidR="007A782F" w:rsidRDefault="007A782F" w:rsidP="007A782F">
      <w:pPr>
        <w:spacing w:after="0" w:line="240" w:lineRule="auto"/>
        <w:jc w:val="both"/>
      </w:pPr>
      <w:r>
        <w:tab/>
        <w:t xml:space="preserve">По VIII ревизии сохранилось 17 окладных книг за все годы, начиная с 1835 и кончая первой половиной 1851 г. </w:t>
      </w:r>
      <w:r w:rsidRPr="004050AE">
        <w:t>[</w:t>
      </w:r>
      <w:r>
        <w:t>4, с. 33</w:t>
      </w:r>
      <w:r w:rsidRPr="004050AE">
        <w:t>]</w:t>
      </w:r>
      <w:r>
        <w:t>.</w:t>
      </w:r>
    </w:p>
    <w:p w:rsidR="007A782F" w:rsidRDefault="007A782F" w:rsidP="007A782F">
      <w:pPr>
        <w:spacing w:after="0" w:line="240" w:lineRule="auto"/>
        <w:jc w:val="both"/>
      </w:pPr>
      <w:r>
        <w:tab/>
        <w:t xml:space="preserve">По IX ревизии, которая была начата в январе 1850 г., сохранились данные за 1851–1854 гг. </w:t>
      </w:r>
      <w:r w:rsidRPr="004050AE">
        <w:t>[</w:t>
      </w:r>
      <w:r>
        <w:t>16</w:t>
      </w:r>
      <w:r w:rsidRPr="004050AE">
        <w:t>]</w:t>
      </w:r>
      <w:r>
        <w:t xml:space="preserve">. Обнаружить окладные книги по Х ревизии исследователям не удалось, поэтому опубликованы только поуездные перечневые ведомости о численности и составе населения России [4, с. 35]. По Х ревизии, которая завершилась в 1856 г., неполно учтено неподатное население. По большинству губерний отсутствуют сведения о дворянстве, поэтому при подсчетах городского населения за 1958 г. использовались данные административно-полицейского учета, опубликованные в вып. </w:t>
      </w:r>
      <w:r>
        <w:rPr>
          <w:lang w:val="en-US"/>
        </w:rPr>
        <w:t>II</w:t>
      </w:r>
      <w:r w:rsidRPr="00482128">
        <w:t xml:space="preserve"> «</w:t>
      </w:r>
      <w:r>
        <w:t xml:space="preserve">Статистических таблиц Российской империи, изданных по распоряжению </w:t>
      </w:r>
      <w:r>
        <w:lastRenderedPageBreak/>
        <w:t>министра внутренних дел Центральным статистическим комитетом</w:t>
      </w:r>
      <w:r w:rsidRPr="00482128">
        <w:t>»</w:t>
      </w:r>
      <w:r>
        <w:t>, – «Наличное население империи за 1858 год».</w:t>
      </w:r>
    </w:p>
    <w:p w:rsidR="007A782F" w:rsidRPr="0063524B" w:rsidRDefault="007A782F" w:rsidP="007A782F">
      <w:pPr>
        <w:spacing w:after="0" w:line="240" w:lineRule="auto"/>
        <w:jc w:val="both"/>
      </w:pPr>
      <w:r>
        <w:tab/>
        <w:t xml:space="preserve">Царское правительство предпринимало меры, чтобы прекратить злоупотребления при представлении ревизских сказок и определить действенное количество податного населения. Налоговый гнет, уплата недоимок богатыми членами городских обществ вынуждали городскую верхушку скрывать часть ревизских душ. Так, по V ревизии было скрыто по г. Речице 45 человек мещанского населения [17], по VI ревизии не было записано новогрудским городским обществом 700 душ мужского пола [18]. Особенно много злоупотреблений и неточностей было обнаружено после проведения </w:t>
      </w:r>
      <w:r>
        <w:rPr>
          <w:lang w:val="en-US"/>
        </w:rPr>
        <w:t>VII</w:t>
      </w:r>
      <w:r w:rsidRPr="00B01101">
        <w:t xml:space="preserve"> ревизии. </w:t>
      </w:r>
      <w:r>
        <w:t xml:space="preserve">С 1817 по 1834 г. по России было дополнительно учтено 887880 душ мужского пола прописных, 68260 душ беглых и 28588 душ мужского пола, излишне записанных по ревизии [5, с. 73]. В Гродненской и Виленской губерниях за период с 15 августа 1816 г. по 1 августа 1820 г. было подано дополнительно ревизских сказок на 86799 душ мужского пола, из них 1657 человек мещан-христиан и 28495 человек мещан-евреев [19], в Минской губ. – на 2710 душ [20]. Кроме того, еврейскими обществами было скрыто в городах Минской губ. еще 3589 душ [21]. В Минске пропущенные по VII ревизии 130 человек найдены были только в 1834 г. </w:t>
      </w:r>
      <w:r w:rsidRPr="00165626">
        <w:t>[</w:t>
      </w:r>
      <w:r>
        <w:t>22</w:t>
      </w:r>
      <w:r w:rsidRPr="00165626">
        <w:t>]</w:t>
      </w:r>
      <w:r>
        <w:t>. В 1830 г. была проведена проверка данных VII ревизии в городах Витебской губ.; было выявлено, что по городам губернии пропущено около 1500 душ мужского пола [23] (около 8 % всех городских жителей губернии). В местечках Полоцкого и Городокского уездов число прописных составило 522 души мужского пола [24]. О неточности VIII ревизии свидетельствуют «Сравнительная ведомость по Гродненской губернии» [25] и жалоба членов речицкого кагала о неправильном проведении переписи [</w:t>
      </w:r>
      <w:r w:rsidRPr="0063524B">
        <w:t>26</w:t>
      </w:r>
      <w:r>
        <w:t>]</w:t>
      </w:r>
      <w:r w:rsidRPr="0063524B">
        <w:t>.</w:t>
      </w:r>
    </w:p>
    <w:p w:rsidR="007A782F" w:rsidRDefault="007A782F" w:rsidP="007A782F">
      <w:pPr>
        <w:spacing w:after="0" w:line="240" w:lineRule="auto"/>
        <w:jc w:val="both"/>
      </w:pPr>
      <w:r>
        <w:tab/>
        <w:t>Рассмотренные выше недостатки ревизского учета населения, разумеется, не снижают ценность ревизских материалов как самого полного источника по истории народонаселения России в XVIII – первой половине XIX в., что было обусловлено целью проведения ревизий (учет податного населения).</w:t>
      </w:r>
    </w:p>
    <w:p w:rsidR="007A782F" w:rsidRDefault="007A782F" w:rsidP="007A782F">
      <w:pPr>
        <w:spacing w:after="0" w:line="240" w:lineRule="auto"/>
        <w:jc w:val="both"/>
      </w:pPr>
      <w:r>
        <w:tab/>
        <w:t xml:space="preserve">19 февраля 1778 г. указ сената предписал губернаторам и наместническим правлениям ежегодно присылать в сенат ведомости о числе душ, «в городах по губернии в их ведомстве состоящих» [27, с. </w:t>
      </w:r>
      <w:r>
        <w:rPr>
          <w:lang w:val="be-BY"/>
        </w:rPr>
        <w:t>665–666</w:t>
      </w:r>
      <w:r>
        <w:t xml:space="preserve">]. В середине 30-х годов XIX в. при губернских правлениях начали создаваться губернские статистические комитеты, в обязанности которых включался и сбор сведений о народонаселении [28, с. </w:t>
      </w:r>
      <w:r>
        <w:rPr>
          <w:lang w:val="be-BY"/>
        </w:rPr>
        <w:t>280–285</w:t>
      </w:r>
      <w:r>
        <w:t>].</w:t>
      </w:r>
    </w:p>
    <w:p w:rsidR="007A782F" w:rsidRDefault="007A782F" w:rsidP="007A782F">
      <w:pPr>
        <w:spacing w:after="0" w:line="240" w:lineRule="auto"/>
        <w:jc w:val="both"/>
      </w:pPr>
      <w:r>
        <w:tab/>
        <w:t xml:space="preserve">Административно-полицейский учет хотя и основывался чаще всего на ревизских и церковных данных, но иногда разительно отличался от них. Так, по данным минского губернатора за 1811 г. показано мещан по городам Минской губ. меньше, чем по V ревизии. В Минске, например, учтено мещан наполовину меньше, чем в 1796 г. </w:t>
      </w:r>
      <w:r w:rsidRPr="008B3514">
        <w:t>[</w:t>
      </w:r>
      <w:r>
        <w:t>29</w:t>
      </w:r>
      <w:r w:rsidRPr="008B3514">
        <w:t>]</w:t>
      </w:r>
      <w:r>
        <w:t>.</w:t>
      </w:r>
    </w:p>
    <w:p w:rsidR="007A782F" w:rsidRDefault="007A782F" w:rsidP="007A782F">
      <w:pPr>
        <w:spacing w:after="0" w:line="240" w:lineRule="auto"/>
        <w:jc w:val="both"/>
      </w:pPr>
      <w:r>
        <w:tab/>
        <w:t xml:space="preserve">О недостоверности административно-полицейского учета свидетельствуют следующие данные, где сравниваются сведения о </w:t>
      </w:r>
      <w:r>
        <w:lastRenderedPageBreak/>
        <w:t xml:space="preserve">численности горожан из отчетов минского губернатора за 1825 [30] и 1828 гг. </w:t>
      </w:r>
      <w:r w:rsidRPr="00B4772A">
        <w:t>[</w:t>
      </w:r>
      <w:r>
        <w:t>31</w:t>
      </w:r>
      <w:r w:rsidRPr="00B4772A">
        <w:t>]</w:t>
      </w:r>
      <w:r>
        <w: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
        <w:gridCol w:w="1043"/>
        <w:gridCol w:w="1265"/>
        <w:gridCol w:w="983"/>
        <w:gridCol w:w="1219"/>
        <w:gridCol w:w="1360"/>
        <w:gridCol w:w="1133"/>
        <w:gridCol w:w="1177"/>
        <w:gridCol w:w="1012"/>
      </w:tblGrid>
      <w:tr w:rsidR="007A782F" w:rsidTr="00E1347D">
        <w:tc>
          <w:tcPr>
            <w:tcW w:w="1226" w:type="dxa"/>
          </w:tcPr>
          <w:p w:rsidR="007A782F" w:rsidRPr="00135933" w:rsidRDefault="007A782F" w:rsidP="00E1347D">
            <w:pPr>
              <w:spacing w:after="0" w:line="240" w:lineRule="auto"/>
              <w:jc w:val="both"/>
              <w:rPr>
                <w:b/>
                <w:i/>
              </w:rPr>
            </w:pPr>
            <w:r w:rsidRPr="00135933">
              <w:rPr>
                <w:b/>
                <w:i/>
              </w:rPr>
              <w:t>Год</w:t>
            </w:r>
          </w:p>
        </w:tc>
        <w:tc>
          <w:tcPr>
            <w:tcW w:w="1031" w:type="dxa"/>
          </w:tcPr>
          <w:p w:rsidR="007A782F" w:rsidRPr="00135933" w:rsidRDefault="007A782F" w:rsidP="00E1347D">
            <w:pPr>
              <w:spacing w:after="0" w:line="240" w:lineRule="auto"/>
              <w:jc w:val="both"/>
              <w:rPr>
                <w:b/>
                <w:i/>
              </w:rPr>
            </w:pPr>
            <w:r w:rsidRPr="00135933">
              <w:rPr>
                <w:b/>
                <w:i/>
              </w:rPr>
              <w:t>Минск</w:t>
            </w:r>
          </w:p>
        </w:tc>
        <w:tc>
          <w:tcPr>
            <w:tcW w:w="1250" w:type="dxa"/>
          </w:tcPr>
          <w:p w:rsidR="007A782F" w:rsidRPr="00135933" w:rsidRDefault="007A782F" w:rsidP="00E1347D">
            <w:pPr>
              <w:spacing w:after="0" w:line="240" w:lineRule="auto"/>
              <w:jc w:val="both"/>
              <w:rPr>
                <w:b/>
                <w:i/>
              </w:rPr>
            </w:pPr>
            <w:r w:rsidRPr="00135933">
              <w:rPr>
                <w:b/>
                <w:i/>
              </w:rPr>
              <w:t>Вилейка</w:t>
            </w:r>
          </w:p>
        </w:tc>
        <w:tc>
          <w:tcPr>
            <w:tcW w:w="972" w:type="dxa"/>
          </w:tcPr>
          <w:p w:rsidR="007A782F" w:rsidRPr="00135933" w:rsidRDefault="007A782F" w:rsidP="00E1347D">
            <w:pPr>
              <w:spacing w:after="0" w:line="240" w:lineRule="auto"/>
              <w:jc w:val="both"/>
              <w:rPr>
                <w:b/>
                <w:i/>
              </w:rPr>
            </w:pPr>
            <w:r w:rsidRPr="00135933">
              <w:rPr>
                <w:b/>
                <w:i/>
              </w:rPr>
              <w:t>Дисна</w:t>
            </w:r>
          </w:p>
        </w:tc>
        <w:tc>
          <w:tcPr>
            <w:tcW w:w="1205" w:type="dxa"/>
          </w:tcPr>
          <w:p w:rsidR="007A782F" w:rsidRPr="00135933" w:rsidRDefault="007A782F" w:rsidP="00E1347D">
            <w:pPr>
              <w:spacing w:after="0" w:line="240" w:lineRule="auto"/>
              <w:jc w:val="both"/>
              <w:rPr>
                <w:b/>
                <w:i/>
              </w:rPr>
            </w:pPr>
            <w:r w:rsidRPr="00135933">
              <w:rPr>
                <w:b/>
                <w:i/>
              </w:rPr>
              <w:t>Борисов</w:t>
            </w:r>
          </w:p>
        </w:tc>
        <w:tc>
          <w:tcPr>
            <w:tcW w:w="1344" w:type="dxa"/>
          </w:tcPr>
          <w:p w:rsidR="007A782F" w:rsidRPr="00135933" w:rsidRDefault="007A782F" w:rsidP="00E1347D">
            <w:pPr>
              <w:spacing w:after="0" w:line="240" w:lineRule="auto"/>
              <w:jc w:val="both"/>
              <w:rPr>
                <w:b/>
                <w:i/>
              </w:rPr>
            </w:pPr>
            <w:r w:rsidRPr="00135933">
              <w:rPr>
                <w:b/>
                <w:i/>
              </w:rPr>
              <w:t>Бобруйск</w:t>
            </w:r>
          </w:p>
        </w:tc>
        <w:tc>
          <w:tcPr>
            <w:tcW w:w="1120" w:type="dxa"/>
          </w:tcPr>
          <w:p w:rsidR="007A782F" w:rsidRPr="00135933" w:rsidRDefault="007A782F" w:rsidP="00E1347D">
            <w:pPr>
              <w:spacing w:after="0" w:line="240" w:lineRule="auto"/>
              <w:jc w:val="both"/>
              <w:rPr>
                <w:b/>
                <w:i/>
              </w:rPr>
            </w:pPr>
            <w:r w:rsidRPr="00135933">
              <w:rPr>
                <w:b/>
                <w:i/>
              </w:rPr>
              <w:t>Игумен</w:t>
            </w:r>
          </w:p>
        </w:tc>
        <w:tc>
          <w:tcPr>
            <w:tcW w:w="1163" w:type="dxa"/>
          </w:tcPr>
          <w:p w:rsidR="007A782F" w:rsidRPr="00135933" w:rsidRDefault="007A782F" w:rsidP="00E1347D">
            <w:pPr>
              <w:spacing w:after="0" w:line="240" w:lineRule="auto"/>
              <w:jc w:val="both"/>
              <w:rPr>
                <w:b/>
                <w:i/>
              </w:rPr>
            </w:pPr>
            <w:r w:rsidRPr="00135933">
              <w:rPr>
                <w:b/>
                <w:i/>
              </w:rPr>
              <w:t>Мозырь</w:t>
            </w:r>
          </w:p>
        </w:tc>
        <w:tc>
          <w:tcPr>
            <w:tcW w:w="1001" w:type="dxa"/>
          </w:tcPr>
          <w:p w:rsidR="007A782F" w:rsidRPr="00135933" w:rsidRDefault="007A782F" w:rsidP="00E1347D">
            <w:pPr>
              <w:spacing w:after="0" w:line="240" w:lineRule="auto"/>
              <w:jc w:val="both"/>
              <w:rPr>
                <w:b/>
                <w:i/>
              </w:rPr>
            </w:pPr>
            <w:r w:rsidRPr="00135933">
              <w:rPr>
                <w:b/>
                <w:i/>
              </w:rPr>
              <w:t>Пинск</w:t>
            </w:r>
          </w:p>
        </w:tc>
      </w:tr>
      <w:tr w:rsidR="007A782F" w:rsidTr="00E1347D">
        <w:tc>
          <w:tcPr>
            <w:tcW w:w="1226" w:type="dxa"/>
          </w:tcPr>
          <w:p w:rsidR="007A782F" w:rsidRDefault="007A782F" w:rsidP="00E1347D">
            <w:pPr>
              <w:spacing w:after="0" w:line="240" w:lineRule="auto"/>
              <w:jc w:val="both"/>
            </w:pPr>
            <w:r>
              <w:t>1825</w:t>
            </w:r>
          </w:p>
        </w:tc>
        <w:tc>
          <w:tcPr>
            <w:tcW w:w="1031" w:type="dxa"/>
          </w:tcPr>
          <w:p w:rsidR="007A782F" w:rsidRDefault="007A782F" w:rsidP="00E1347D">
            <w:pPr>
              <w:spacing w:after="0" w:line="240" w:lineRule="auto"/>
              <w:jc w:val="center"/>
            </w:pPr>
            <w:r>
              <w:t>16242</w:t>
            </w:r>
          </w:p>
        </w:tc>
        <w:tc>
          <w:tcPr>
            <w:tcW w:w="1250" w:type="dxa"/>
          </w:tcPr>
          <w:p w:rsidR="007A782F" w:rsidRDefault="007A782F" w:rsidP="00E1347D">
            <w:pPr>
              <w:spacing w:after="0" w:line="240" w:lineRule="auto"/>
              <w:jc w:val="center"/>
            </w:pPr>
            <w:r>
              <w:t>713</w:t>
            </w:r>
          </w:p>
        </w:tc>
        <w:tc>
          <w:tcPr>
            <w:tcW w:w="972" w:type="dxa"/>
          </w:tcPr>
          <w:p w:rsidR="007A782F" w:rsidRDefault="007A782F" w:rsidP="00E1347D">
            <w:pPr>
              <w:spacing w:after="0" w:line="240" w:lineRule="auto"/>
              <w:jc w:val="center"/>
            </w:pPr>
            <w:r>
              <w:t>2366</w:t>
            </w:r>
          </w:p>
        </w:tc>
        <w:tc>
          <w:tcPr>
            <w:tcW w:w="1205" w:type="dxa"/>
          </w:tcPr>
          <w:p w:rsidR="007A782F" w:rsidRDefault="007A782F" w:rsidP="00E1347D">
            <w:pPr>
              <w:spacing w:after="0" w:line="240" w:lineRule="auto"/>
              <w:jc w:val="center"/>
            </w:pPr>
            <w:r>
              <w:t>2491</w:t>
            </w:r>
          </w:p>
        </w:tc>
        <w:tc>
          <w:tcPr>
            <w:tcW w:w="1344" w:type="dxa"/>
          </w:tcPr>
          <w:p w:rsidR="007A782F" w:rsidRDefault="007A782F" w:rsidP="00E1347D">
            <w:pPr>
              <w:spacing w:after="0" w:line="240" w:lineRule="auto"/>
              <w:jc w:val="center"/>
            </w:pPr>
            <w:r>
              <w:t>3556</w:t>
            </w:r>
          </w:p>
        </w:tc>
        <w:tc>
          <w:tcPr>
            <w:tcW w:w="1120" w:type="dxa"/>
          </w:tcPr>
          <w:p w:rsidR="007A782F" w:rsidRDefault="007A782F" w:rsidP="00E1347D">
            <w:pPr>
              <w:spacing w:after="0" w:line="240" w:lineRule="auto"/>
              <w:jc w:val="center"/>
            </w:pPr>
            <w:r>
              <w:t>644</w:t>
            </w:r>
          </w:p>
        </w:tc>
        <w:tc>
          <w:tcPr>
            <w:tcW w:w="1163" w:type="dxa"/>
          </w:tcPr>
          <w:p w:rsidR="007A782F" w:rsidRDefault="007A782F" w:rsidP="00E1347D">
            <w:pPr>
              <w:spacing w:after="0" w:line="240" w:lineRule="auto"/>
              <w:jc w:val="center"/>
            </w:pPr>
            <w:r>
              <w:t>2214</w:t>
            </w:r>
          </w:p>
        </w:tc>
        <w:tc>
          <w:tcPr>
            <w:tcW w:w="1001" w:type="dxa"/>
          </w:tcPr>
          <w:p w:rsidR="007A782F" w:rsidRDefault="007A782F" w:rsidP="00E1347D">
            <w:pPr>
              <w:spacing w:after="0" w:line="240" w:lineRule="auto"/>
              <w:jc w:val="center"/>
            </w:pPr>
            <w:r>
              <w:t>4140</w:t>
            </w:r>
          </w:p>
        </w:tc>
      </w:tr>
      <w:tr w:rsidR="007A782F" w:rsidTr="00E1347D">
        <w:tc>
          <w:tcPr>
            <w:tcW w:w="1226" w:type="dxa"/>
          </w:tcPr>
          <w:p w:rsidR="007A782F" w:rsidRDefault="007A782F" w:rsidP="00E1347D">
            <w:pPr>
              <w:spacing w:after="0" w:line="240" w:lineRule="auto"/>
              <w:jc w:val="both"/>
            </w:pPr>
            <w:r>
              <w:t>1828</w:t>
            </w:r>
          </w:p>
        </w:tc>
        <w:tc>
          <w:tcPr>
            <w:tcW w:w="1031" w:type="dxa"/>
          </w:tcPr>
          <w:p w:rsidR="007A782F" w:rsidRDefault="007A782F" w:rsidP="00E1347D">
            <w:pPr>
              <w:spacing w:after="0" w:line="240" w:lineRule="auto"/>
              <w:jc w:val="center"/>
            </w:pPr>
            <w:r>
              <w:t>15654</w:t>
            </w:r>
          </w:p>
        </w:tc>
        <w:tc>
          <w:tcPr>
            <w:tcW w:w="1250" w:type="dxa"/>
          </w:tcPr>
          <w:p w:rsidR="007A782F" w:rsidRDefault="007A782F" w:rsidP="00E1347D">
            <w:pPr>
              <w:spacing w:after="0" w:line="240" w:lineRule="auto"/>
              <w:jc w:val="center"/>
            </w:pPr>
            <w:r>
              <w:t>727</w:t>
            </w:r>
          </w:p>
        </w:tc>
        <w:tc>
          <w:tcPr>
            <w:tcW w:w="972" w:type="dxa"/>
          </w:tcPr>
          <w:p w:rsidR="007A782F" w:rsidRDefault="007A782F" w:rsidP="00E1347D">
            <w:pPr>
              <w:spacing w:after="0" w:line="240" w:lineRule="auto"/>
              <w:jc w:val="center"/>
            </w:pPr>
            <w:r>
              <w:t>2802</w:t>
            </w:r>
          </w:p>
        </w:tc>
        <w:tc>
          <w:tcPr>
            <w:tcW w:w="1205" w:type="dxa"/>
          </w:tcPr>
          <w:p w:rsidR="007A782F" w:rsidRDefault="007A782F" w:rsidP="00E1347D">
            <w:pPr>
              <w:spacing w:after="0" w:line="240" w:lineRule="auto"/>
              <w:jc w:val="center"/>
            </w:pPr>
            <w:r>
              <w:t>2188</w:t>
            </w:r>
          </w:p>
        </w:tc>
        <w:tc>
          <w:tcPr>
            <w:tcW w:w="1344" w:type="dxa"/>
          </w:tcPr>
          <w:p w:rsidR="007A782F" w:rsidRDefault="007A782F" w:rsidP="00E1347D">
            <w:pPr>
              <w:spacing w:after="0" w:line="240" w:lineRule="auto"/>
              <w:jc w:val="center"/>
            </w:pPr>
            <w:r>
              <w:t>6829</w:t>
            </w:r>
          </w:p>
        </w:tc>
        <w:tc>
          <w:tcPr>
            <w:tcW w:w="1120" w:type="dxa"/>
          </w:tcPr>
          <w:p w:rsidR="007A782F" w:rsidRDefault="007A782F" w:rsidP="00E1347D">
            <w:pPr>
              <w:spacing w:after="0" w:line="240" w:lineRule="auto"/>
              <w:jc w:val="center"/>
            </w:pPr>
            <w:r>
              <w:t>895</w:t>
            </w:r>
          </w:p>
        </w:tc>
        <w:tc>
          <w:tcPr>
            <w:tcW w:w="1163" w:type="dxa"/>
          </w:tcPr>
          <w:p w:rsidR="007A782F" w:rsidRDefault="007A782F" w:rsidP="00E1347D">
            <w:pPr>
              <w:spacing w:after="0" w:line="240" w:lineRule="auto"/>
              <w:jc w:val="center"/>
            </w:pPr>
            <w:r>
              <w:t>2920</w:t>
            </w:r>
          </w:p>
        </w:tc>
        <w:tc>
          <w:tcPr>
            <w:tcW w:w="1001" w:type="dxa"/>
          </w:tcPr>
          <w:p w:rsidR="007A782F" w:rsidRDefault="007A782F" w:rsidP="00E1347D">
            <w:pPr>
              <w:spacing w:after="0" w:line="240" w:lineRule="auto"/>
              <w:jc w:val="center"/>
            </w:pPr>
            <w:r>
              <w:t>4227</w:t>
            </w:r>
          </w:p>
        </w:tc>
      </w:tr>
    </w:tbl>
    <w:p w:rsidR="007A782F" w:rsidRDefault="007A782F" w:rsidP="007A782F">
      <w:pPr>
        <w:spacing w:after="0" w:line="240" w:lineRule="auto"/>
        <w:jc w:val="both"/>
      </w:pPr>
      <w:r>
        <w:tab/>
        <w:t>Нетрудно заметить, что данные о числе жителей в городах Минской губ. в течение трех лет значительно расходятся. Так, в Бобруйске рост населения на 3273 человека объяснить невозможно. Видимо, за 1825 г. по Бобруйску приведены лишь данные о численности жителей мужского пола или во втором случае учтена численность бобруйского военного гарнизона. Не внушают доверия данные отчета могилевского губернатора за 1826 г., в котором численность городского населения губернии 27859 человек [32], в то время как в отчете за 1825 г. – 33055. По-видимому, данные отчета губернатора за 1825 г. более достоверны, так как в 1815 г. в городах Могилевской губ. (без учета данных по городам Белица, Гомель и Горки, сведения по которым имеются не за все годы) насчитывалось 25944, а в 1883 г. – 40197 человек.</w:t>
      </w:r>
    </w:p>
    <w:p w:rsidR="007A782F" w:rsidRDefault="007A782F" w:rsidP="007A782F">
      <w:pPr>
        <w:spacing w:after="0" w:line="240" w:lineRule="auto"/>
        <w:jc w:val="both"/>
      </w:pPr>
      <w:r>
        <w:tab/>
        <w:t>Источники позволяют подсчитать, что с 1796 по 1861 г. население 42 городов белорусских губерний увеличилось с 80 тыс. до 320 тыс. человек, или в 4 раза. Следовательно, темпы роста численности городского населения в рассматриваемый период были высокие, особенно в сравнении с ростом всего населения Беларуси, общая численность которого за это же время выросла только на 36 %</w:t>
      </w:r>
      <w:r w:rsidRPr="00317A15">
        <w:t xml:space="preserve"> [</w:t>
      </w:r>
      <w:r>
        <w:t>33</w:t>
      </w:r>
      <w:r w:rsidRPr="00317A15">
        <w:t>]</w:t>
      </w:r>
      <w:r>
        <w:t>.</w:t>
      </w:r>
    </w:p>
    <w:p w:rsidR="007A782F" w:rsidRPr="00435B33" w:rsidRDefault="007A782F" w:rsidP="007A782F">
      <w:pPr>
        <w:spacing w:after="0" w:line="240" w:lineRule="auto"/>
        <w:jc w:val="center"/>
        <w:rPr>
          <w:b/>
        </w:rPr>
      </w:pPr>
      <w:r w:rsidRPr="00435B33">
        <w:rPr>
          <w:b/>
        </w:rPr>
        <w:t>Источники и литература</w:t>
      </w:r>
    </w:p>
    <w:p w:rsidR="007A782F" w:rsidRDefault="007A782F" w:rsidP="007A782F">
      <w:pPr>
        <w:spacing w:after="0" w:line="240" w:lineRule="auto"/>
        <w:jc w:val="both"/>
      </w:pPr>
      <w:r>
        <w:tab/>
        <w:t>1. Маркс, К. Сочинения : в 30 т. / К. Маркс, Ф. Энгельс. – 2-е изд. – М.: Политиздат, 1959. – Т. 23. – 640 с.</w:t>
      </w:r>
    </w:p>
    <w:p w:rsidR="007A782F" w:rsidRDefault="007A782F" w:rsidP="007A782F">
      <w:pPr>
        <w:spacing w:after="0" w:line="240" w:lineRule="auto"/>
        <w:jc w:val="both"/>
      </w:pPr>
      <w:r>
        <w:tab/>
        <w:t>2. Ленин, В. И. Полное собрание сочинений : в 50 т. / В.И. Ленин. – 5-е изд. – М.: Политиздат, 1979−1983. – Т. 1 : Экономическое содержание народничества.</w:t>
      </w:r>
    </w:p>
    <w:p w:rsidR="007A782F" w:rsidRDefault="007A782F" w:rsidP="007A782F">
      <w:pPr>
        <w:spacing w:after="0" w:line="240" w:lineRule="auto"/>
        <w:jc w:val="both"/>
      </w:pPr>
      <w:r>
        <w:tab/>
        <w:t>3. Ленин, В. И. Полное собрание сочинений : в 50 т. / В.И. Ленин. – 5-е изд. – М.: Политиздат, 1979−1983. – Т. 3 : Развитие капитализма в России. – 791 с.</w:t>
      </w:r>
    </w:p>
    <w:p w:rsidR="007A782F" w:rsidRDefault="007A782F" w:rsidP="007A782F">
      <w:pPr>
        <w:spacing w:after="0" w:line="240" w:lineRule="auto"/>
        <w:jc w:val="both"/>
      </w:pPr>
      <w:r>
        <w:tab/>
        <w:t xml:space="preserve">4. Переписи населения России. Итоговые материалы подворных переписей и ревизий населения России (1646–1858). – М., 1972. – Вып. </w:t>
      </w:r>
      <w:r>
        <w:rPr>
          <w:lang w:val="en-US"/>
        </w:rPr>
        <w:t>IV</w:t>
      </w:r>
      <w:r w:rsidRPr="00135933">
        <w:t>–</w:t>
      </w:r>
      <w:r>
        <w:rPr>
          <w:lang w:val="en-US"/>
        </w:rPr>
        <w:t>X</w:t>
      </w:r>
      <w:r>
        <w:t>Р.</w:t>
      </w:r>
    </w:p>
    <w:p w:rsidR="007A782F" w:rsidRDefault="007A782F" w:rsidP="007A782F">
      <w:pPr>
        <w:spacing w:after="0" w:line="240" w:lineRule="auto"/>
        <w:jc w:val="both"/>
      </w:pPr>
      <w:r>
        <w:tab/>
        <w:t>5. Кабузан, В.М. Народонаселение России в XVIII – первой половине XIX в. (по материалам ревизий) / В.М. Кабузан. – М., 1963.</w:t>
      </w:r>
    </w:p>
    <w:p w:rsidR="007A782F" w:rsidRDefault="007A782F" w:rsidP="007A782F">
      <w:pPr>
        <w:spacing w:after="0" w:line="240" w:lineRule="auto"/>
        <w:jc w:val="both"/>
        <w:rPr>
          <w:lang w:val="be-BY"/>
        </w:rPr>
      </w:pPr>
      <w:r>
        <w:tab/>
        <w:t xml:space="preserve">6. </w:t>
      </w:r>
      <w:r>
        <w:rPr>
          <w:lang w:val="be-BY"/>
        </w:rPr>
        <w:t>Полный сборник законов Российской империи (ПСЗ). – Т. 21. – № 15278.</w:t>
      </w:r>
    </w:p>
    <w:p w:rsidR="007A782F" w:rsidRDefault="007A782F" w:rsidP="007A782F">
      <w:pPr>
        <w:spacing w:after="0" w:line="240" w:lineRule="auto"/>
        <w:jc w:val="both"/>
      </w:pPr>
      <w:r>
        <w:rPr>
          <w:lang w:val="be-BY"/>
        </w:rPr>
        <w:tab/>
        <w:t xml:space="preserve">7. </w:t>
      </w:r>
      <w:r>
        <w:t xml:space="preserve">Российский государственный исторический архив в </w:t>
      </w:r>
      <w:r>
        <w:rPr>
          <w:lang w:val="be-BY"/>
        </w:rPr>
        <w:t>Санкт-Петербурге</w:t>
      </w:r>
      <w:r>
        <w:t xml:space="preserve"> (РГИА). – Фонд 571. – Оп. 9. – Д. 1886.</w:t>
      </w:r>
    </w:p>
    <w:p w:rsidR="007A782F" w:rsidRDefault="007A782F" w:rsidP="007A782F">
      <w:pPr>
        <w:spacing w:after="0" w:line="240" w:lineRule="auto"/>
        <w:jc w:val="both"/>
        <w:rPr>
          <w:lang w:val="be-BY"/>
        </w:rPr>
      </w:pPr>
      <w:r>
        <w:tab/>
        <w:t xml:space="preserve">8. </w:t>
      </w:r>
      <w:r>
        <w:rPr>
          <w:lang w:val="be-BY"/>
        </w:rPr>
        <w:t>ПСЗ. – Т. 21. – № 15550.</w:t>
      </w:r>
    </w:p>
    <w:p w:rsidR="007A782F" w:rsidRDefault="007A782F" w:rsidP="007A782F">
      <w:pPr>
        <w:spacing w:after="0" w:line="240" w:lineRule="auto"/>
        <w:jc w:val="both"/>
        <w:rPr>
          <w:lang w:val="be-BY"/>
        </w:rPr>
      </w:pPr>
      <w:r>
        <w:rPr>
          <w:lang w:val="be-BY"/>
        </w:rPr>
        <w:tab/>
        <w:t>9. ПСЗ. – Т. 21. – № 19210. – С. 903–904; Т. 30. – № 22834. – С. 84–87; № 23044. – С. 279–280.</w:t>
      </w:r>
    </w:p>
    <w:p w:rsidR="007A782F" w:rsidRDefault="007A782F" w:rsidP="007A782F">
      <w:pPr>
        <w:spacing w:after="0" w:line="240" w:lineRule="auto"/>
        <w:jc w:val="both"/>
      </w:pPr>
      <w:r>
        <w:rPr>
          <w:lang w:val="be-BY"/>
        </w:rPr>
        <w:lastRenderedPageBreak/>
        <w:tab/>
        <w:t xml:space="preserve">10. Национальный исторический архив Беларуси (НИАБ). </w:t>
      </w:r>
      <w:r>
        <w:t>– Фонд 295. – Оп. 1. – Д. 83. – Л. 36.</w:t>
      </w:r>
    </w:p>
    <w:p w:rsidR="007A782F" w:rsidRDefault="007A782F" w:rsidP="007A782F">
      <w:pPr>
        <w:spacing w:after="0" w:line="240" w:lineRule="auto"/>
        <w:jc w:val="both"/>
        <w:rPr>
          <w:lang w:val="be-BY"/>
        </w:rPr>
      </w:pPr>
      <w:r>
        <w:tab/>
        <w:t xml:space="preserve">11. </w:t>
      </w:r>
      <w:r>
        <w:rPr>
          <w:lang w:val="be-BY"/>
        </w:rPr>
        <w:t>ПСЗ. – Т. 31. – № 24635.</w:t>
      </w:r>
    </w:p>
    <w:p w:rsidR="007A782F" w:rsidRDefault="007A782F" w:rsidP="007A782F">
      <w:pPr>
        <w:spacing w:after="0" w:line="240" w:lineRule="auto"/>
        <w:jc w:val="both"/>
      </w:pPr>
      <w:r>
        <w:rPr>
          <w:lang w:val="be-BY"/>
        </w:rPr>
        <w:tab/>
        <w:t xml:space="preserve">12. </w:t>
      </w:r>
      <w:r>
        <w:t>НИАБ. – Фонд 2584. – Оп. 1. – Д. 105. – Л. 16.</w:t>
      </w:r>
    </w:p>
    <w:p w:rsidR="007A782F" w:rsidRDefault="007A782F" w:rsidP="007A782F">
      <w:pPr>
        <w:spacing w:after="0" w:line="240" w:lineRule="auto"/>
        <w:jc w:val="both"/>
        <w:rPr>
          <w:lang w:val="be-BY"/>
        </w:rPr>
      </w:pPr>
      <w:r>
        <w:tab/>
        <w:t xml:space="preserve">13. </w:t>
      </w:r>
      <w:r>
        <w:rPr>
          <w:lang w:val="be-BY"/>
        </w:rPr>
        <w:t>ПСЗ. – Т. 32. – № 25445.</w:t>
      </w:r>
    </w:p>
    <w:p w:rsidR="007A782F" w:rsidRDefault="007A782F" w:rsidP="007A782F">
      <w:pPr>
        <w:spacing w:after="0" w:line="240" w:lineRule="auto"/>
        <w:jc w:val="both"/>
        <w:rPr>
          <w:lang w:val="be-BY"/>
        </w:rPr>
      </w:pPr>
      <w:r>
        <w:rPr>
          <w:lang w:val="be-BY"/>
        </w:rPr>
        <w:tab/>
        <w:t>14. ПСЗ. – Т. 32. – № 25882.</w:t>
      </w:r>
    </w:p>
    <w:p w:rsidR="007A782F" w:rsidRPr="00644339" w:rsidRDefault="007A782F" w:rsidP="007A782F">
      <w:pPr>
        <w:spacing w:after="0" w:line="240" w:lineRule="auto"/>
        <w:jc w:val="both"/>
      </w:pPr>
      <w:r>
        <w:rPr>
          <w:lang w:val="be-BY"/>
        </w:rPr>
        <w:tab/>
        <w:t>15. 2-е ПСЗ. – Т. 9 – № 2905.</w:t>
      </w:r>
    </w:p>
    <w:p w:rsidR="007A782F" w:rsidRDefault="007A782F" w:rsidP="007A782F">
      <w:pPr>
        <w:spacing w:after="0" w:line="240" w:lineRule="auto"/>
        <w:jc w:val="both"/>
      </w:pPr>
      <w:r w:rsidRPr="00644339">
        <w:tab/>
      </w:r>
      <w:r w:rsidRPr="004050AE">
        <w:t xml:space="preserve">16. </w:t>
      </w:r>
      <w:r>
        <w:t>РГИА. – Фонд 571. – Оп. 9. – Д. 50. – Л. 50.</w:t>
      </w:r>
    </w:p>
    <w:p w:rsidR="007A782F" w:rsidRDefault="007A782F" w:rsidP="007A782F">
      <w:pPr>
        <w:spacing w:after="0" w:line="240" w:lineRule="auto"/>
        <w:jc w:val="both"/>
      </w:pPr>
      <w:r>
        <w:tab/>
        <w:t>17. НИАБ. – Фонд 168. – Оп. 2. – Д. 6. – Л. 27.</w:t>
      </w:r>
    </w:p>
    <w:p w:rsidR="007A782F" w:rsidRDefault="007A782F" w:rsidP="007A782F">
      <w:pPr>
        <w:spacing w:after="0" w:line="240" w:lineRule="auto"/>
        <w:jc w:val="both"/>
      </w:pPr>
      <w:r>
        <w:tab/>
        <w:t xml:space="preserve">18. </w:t>
      </w:r>
      <w:r>
        <w:rPr>
          <w:lang w:val="be-BY"/>
        </w:rPr>
        <w:t xml:space="preserve">Национальный исторический архив Беларуси в Гродно (НИАБ в Гродно). </w:t>
      </w:r>
      <w:r>
        <w:t>– Фонд 1. – Оп. 2. – Д. 961. – Л. 210−325.</w:t>
      </w:r>
    </w:p>
    <w:p w:rsidR="007A782F" w:rsidRDefault="007A782F" w:rsidP="007A782F">
      <w:pPr>
        <w:spacing w:after="0" w:line="240" w:lineRule="auto"/>
        <w:jc w:val="both"/>
      </w:pPr>
      <w:r>
        <w:tab/>
        <w:t xml:space="preserve">19. Государственный исторический архив Литвы (ГИАЛ). </w:t>
      </w:r>
      <w:r>
        <w:rPr>
          <w:lang w:val="be-BY"/>
        </w:rPr>
        <w:t>– Фонд 378. – Оп. 22. – Д. 16. – Л. 93−94.</w:t>
      </w:r>
    </w:p>
    <w:p w:rsidR="007A782F" w:rsidRDefault="007A782F" w:rsidP="007A782F">
      <w:pPr>
        <w:spacing w:after="0" w:line="240" w:lineRule="auto"/>
        <w:jc w:val="both"/>
      </w:pPr>
      <w:r>
        <w:tab/>
        <w:t>20. НИАБ. – Фонд 295. – Оп. 1. – Д. 135. – Л. 25.</w:t>
      </w:r>
    </w:p>
    <w:p w:rsidR="007A782F" w:rsidRDefault="007A782F" w:rsidP="007A782F">
      <w:pPr>
        <w:spacing w:after="0" w:line="240" w:lineRule="auto"/>
        <w:jc w:val="both"/>
      </w:pPr>
      <w:r>
        <w:tab/>
        <w:t>21. НИАБ. – Фонд 295. – Оп. 1. – Д. 135. – Л. 49, 67, 459.</w:t>
      </w:r>
    </w:p>
    <w:p w:rsidR="007A782F" w:rsidRDefault="007A782F" w:rsidP="007A782F">
      <w:pPr>
        <w:spacing w:after="0" w:line="240" w:lineRule="auto"/>
        <w:jc w:val="both"/>
      </w:pPr>
      <w:r>
        <w:tab/>
        <w:t>22. НИАБ. – Фонд 149. – Оп. 2. – Д. 778. – Л. 1, 4.</w:t>
      </w:r>
    </w:p>
    <w:p w:rsidR="007A782F" w:rsidRDefault="007A782F" w:rsidP="007A782F">
      <w:pPr>
        <w:spacing w:after="0" w:line="240" w:lineRule="auto"/>
        <w:jc w:val="both"/>
      </w:pPr>
      <w:r>
        <w:tab/>
        <w:t>23. НИАБ. – Фонд 1430. – Оп. 1. – Д. 2011. – Л. 27–30.</w:t>
      </w:r>
    </w:p>
    <w:p w:rsidR="007A782F" w:rsidRDefault="007A782F" w:rsidP="007A782F">
      <w:pPr>
        <w:spacing w:after="0" w:line="240" w:lineRule="auto"/>
        <w:jc w:val="both"/>
      </w:pPr>
      <w:r>
        <w:tab/>
        <w:t>24. НИАБ. – Фонд 1430. – Оп. 1. – Д. 2011. – Л. 6, 7.</w:t>
      </w:r>
    </w:p>
    <w:p w:rsidR="007A782F" w:rsidRDefault="007A782F" w:rsidP="007A782F">
      <w:pPr>
        <w:spacing w:after="0" w:line="240" w:lineRule="auto"/>
        <w:jc w:val="both"/>
      </w:pPr>
      <w:r>
        <w:tab/>
        <w:t xml:space="preserve">25. </w:t>
      </w:r>
      <w:r>
        <w:rPr>
          <w:lang w:val="be-BY"/>
        </w:rPr>
        <w:t xml:space="preserve">НИАБ в Гродно. </w:t>
      </w:r>
      <w:r>
        <w:t>– Фонд 1. – Оп. 4. – Д. 655. – Л. 7.</w:t>
      </w:r>
    </w:p>
    <w:p w:rsidR="007A782F" w:rsidRDefault="007A782F" w:rsidP="007A782F">
      <w:pPr>
        <w:spacing w:after="0" w:line="240" w:lineRule="auto"/>
        <w:jc w:val="both"/>
      </w:pPr>
      <w:r>
        <w:tab/>
        <w:t>26. НИАБ. – Фонд 295. – Оп. 1. – Д. 501. – Л. 3, 4.</w:t>
      </w:r>
    </w:p>
    <w:p w:rsidR="007A782F" w:rsidRDefault="007A782F" w:rsidP="007A782F">
      <w:pPr>
        <w:spacing w:after="0" w:line="240" w:lineRule="auto"/>
        <w:jc w:val="both"/>
        <w:rPr>
          <w:lang w:val="be-BY"/>
        </w:rPr>
      </w:pPr>
      <w:r>
        <w:tab/>
        <w:t xml:space="preserve">27. </w:t>
      </w:r>
      <w:r>
        <w:rPr>
          <w:lang w:val="be-BY"/>
        </w:rPr>
        <w:t>ПСЗ. – Т. 20. – № 14733.</w:t>
      </w:r>
    </w:p>
    <w:p w:rsidR="007A782F" w:rsidRDefault="007A782F" w:rsidP="007A782F">
      <w:pPr>
        <w:spacing w:after="0" w:line="240" w:lineRule="auto"/>
        <w:jc w:val="both"/>
        <w:rPr>
          <w:lang w:val="be-BY"/>
        </w:rPr>
      </w:pPr>
      <w:r>
        <w:rPr>
          <w:lang w:val="be-BY"/>
        </w:rPr>
        <w:tab/>
        <w:t>28. 2-е ПСЗ. – Т. 9. – Ч. 2. – № 7684.</w:t>
      </w:r>
    </w:p>
    <w:p w:rsidR="007A782F" w:rsidRDefault="007A782F" w:rsidP="007A782F">
      <w:pPr>
        <w:spacing w:after="0" w:line="240" w:lineRule="auto"/>
        <w:jc w:val="both"/>
      </w:pPr>
      <w:r>
        <w:rPr>
          <w:lang w:val="be-BY"/>
        </w:rPr>
        <w:tab/>
        <w:t xml:space="preserve">29. </w:t>
      </w:r>
      <w:r>
        <w:t>НИАБ. – Фонд 295. – Оп. 1. – Д. 94. – Л. 1181.</w:t>
      </w:r>
    </w:p>
    <w:p w:rsidR="007A782F" w:rsidRDefault="007A782F" w:rsidP="007A782F">
      <w:pPr>
        <w:spacing w:after="0" w:line="240" w:lineRule="auto"/>
        <w:jc w:val="both"/>
      </w:pPr>
      <w:r>
        <w:tab/>
        <w:t>30. НИАБ. – Фонд 295. – Оп. 1. – Д. 195. – Л. 9, 10.</w:t>
      </w:r>
    </w:p>
    <w:p w:rsidR="007A782F" w:rsidRDefault="007A782F" w:rsidP="007A782F">
      <w:pPr>
        <w:spacing w:after="0" w:line="240" w:lineRule="auto"/>
        <w:jc w:val="both"/>
      </w:pPr>
      <w:r>
        <w:tab/>
        <w:t>31. РГИА. – Фонд 1281. – Оп. 11. – Д. 78. – Л. 33.</w:t>
      </w:r>
    </w:p>
    <w:p w:rsidR="007A782F" w:rsidRDefault="007A782F" w:rsidP="007A782F">
      <w:pPr>
        <w:spacing w:after="0" w:line="240" w:lineRule="auto"/>
        <w:jc w:val="both"/>
      </w:pPr>
      <w:r>
        <w:tab/>
        <w:t>32. НИАБ. – Фонд 2001. – Оп. 1. – Д. 81. – Л. 66.</w:t>
      </w:r>
    </w:p>
    <w:p w:rsidR="007A782F" w:rsidRDefault="007A782F" w:rsidP="007A782F">
      <w:pPr>
        <w:spacing w:after="0" w:line="240" w:lineRule="auto"/>
        <w:ind w:firstLine="708"/>
        <w:jc w:val="both"/>
      </w:pPr>
      <w:r>
        <w:tab/>
        <w:t xml:space="preserve">33. </w:t>
      </w:r>
      <w:r>
        <w:rPr>
          <w:lang w:val="be-BY"/>
        </w:rPr>
        <w:t xml:space="preserve">Матэрыялы да гісторыі мануфактуры ў часы распаду феадалізму / Бел. акад. наук, Ін-т гісторыі імя М.П. Пакроўскага; адказ. рэд. В.К. Шчарбакоў. – Мінск: Выд-ва Бел. акад. навук, 1934. – Т. 1 : 1796−1840. – С. 6, 7; </w:t>
      </w:r>
      <w:r>
        <w:t xml:space="preserve">Переписи населения России. – Вып. </w:t>
      </w:r>
      <w:r>
        <w:rPr>
          <w:lang w:val="en-US"/>
        </w:rPr>
        <w:t>IV</w:t>
      </w:r>
      <w:r w:rsidRPr="00413C1C">
        <w:t>–</w:t>
      </w:r>
      <w:r>
        <w:rPr>
          <w:lang w:val="en-US"/>
        </w:rPr>
        <w:t>VII</w:t>
      </w:r>
      <w:r>
        <w:t>; РГИА. – Фонд 1281. – Оп. 4. – Д. 106. – Л. 103, 104; Фонд 1374. – Оп. 1. – Д. 120. – Л. 2; НИАБ. – Фонд 1430. – Оп. 1. – Д. 8429. – Л. 2–39.</w:t>
      </w:r>
    </w:p>
    <w:p w:rsidR="007A782F" w:rsidRDefault="007A782F" w:rsidP="007A782F">
      <w:pPr>
        <w:spacing w:after="0" w:line="240" w:lineRule="auto"/>
        <w:ind w:firstLine="708"/>
        <w:jc w:val="both"/>
      </w:pPr>
    </w:p>
    <w:p w:rsidR="0049692F" w:rsidRDefault="0049692F"/>
    <w:sectPr w:rsidR="0049692F" w:rsidSect="0049692F">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26E" w:rsidRDefault="0065726E" w:rsidP="004F76F3">
      <w:pPr>
        <w:spacing w:after="0" w:line="240" w:lineRule="auto"/>
      </w:pPr>
      <w:r>
        <w:separator/>
      </w:r>
    </w:p>
  </w:endnote>
  <w:endnote w:type="continuationSeparator" w:id="1">
    <w:p w:rsidR="0065726E" w:rsidRDefault="0065726E" w:rsidP="004F76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6F3" w:rsidRDefault="004F76F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6F3" w:rsidRDefault="004F76F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6F3" w:rsidRDefault="004F76F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26E" w:rsidRDefault="0065726E" w:rsidP="004F76F3">
      <w:pPr>
        <w:spacing w:after="0" w:line="240" w:lineRule="auto"/>
      </w:pPr>
      <w:r>
        <w:separator/>
      </w:r>
    </w:p>
  </w:footnote>
  <w:footnote w:type="continuationSeparator" w:id="1">
    <w:p w:rsidR="0065726E" w:rsidRDefault="0065726E" w:rsidP="004F76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6F3" w:rsidRDefault="004F76F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937" o:spid="_x0000_s3074" type="#_x0000_t136" style="position:absolute;margin-left:0;margin-top:0;width:586.2pt;height:73.25pt;rotation:315;z-index:-251654144;mso-position-horizontal:center;mso-position-horizontal-relative:margin;mso-position-vertical:center;mso-position-vertical-relative:margin" o:allowincell="f" fillcolor="gray [1629]" stroked="f">
          <v:fill opacity=".5"/>
          <v:textpath style="font-family:&quot;Times New Roman&quot;;font-size:1pt" string="РЕПОЗИТОРИЙ БГПУ"/>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6F3" w:rsidRDefault="004F76F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938" o:spid="_x0000_s3075" type="#_x0000_t136" style="position:absolute;margin-left:0;margin-top:0;width:586.2pt;height:73.25pt;rotation:315;z-index:-251652096;mso-position-horizontal:center;mso-position-horizontal-relative:margin;mso-position-vertical:center;mso-position-vertical-relative:margin" o:allowincell="f" fillcolor="gray [1629]" stroked="f">
          <v:fill opacity=".5"/>
          <v:textpath style="font-family:&quot;Times New Roman&quot;;font-size:1pt" string="РЕПОЗИТОРИЙ БГПУ"/>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6F3" w:rsidRDefault="004F76F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936" o:spid="_x0000_s3073" type="#_x0000_t136" style="position:absolute;margin-left:0;margin-top:0;width:586.2pt;height:73.25pt;rotation:315;z-index:-251656192;mso-position-horizontal:center;mso-position-horizontal-relative:margin;mso-position-vertical:center;mso-position-vertical-relative:margin" o:allowincell="f" fillcolor="gray [1629]" stroked="f">
          <v:fill opacity=".5"/>
          <v:textpath style="font-family:&quot;Times New Roman&quot;;font-size:1pt" string="РЕПОЗИТОРИЙ БГПУ"/>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7A782F"/>
    <w:rsid w:val="0049692F"/>
    <w:rsid w:val="004F76F3"/>
    <w:rsid w:val="0065726E"/>
    <w:rsid w:val="007A782F"/>
    <w:rsid w:val="009214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82F"/>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F76F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F76F3"/>
    <w:rPr>
      <w:rFonts w:ascii="Times New Roman" w:eastAsia="Calibri" w:hAnsi="Times New Roman" w:cs="Times New Roman"/>
      <w:sz w:val="28"/>
      <w:szCs w:val="28"/>
    </w:rPr>
  </w:style>
  <w:style w:type="paragraph" w:styleId="a5">
    <w:name w:val="footer"/>
    <w:basedOn w:val="a"/>
    <w:link w:val="a6"/>
    <w:uiPriority w:val="99"/>
    <w:semiHidden/>
    <w:unhideWhenUsed/>
    <w:rsid w:val="004F76F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F76F3"/>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2343</Words>
  <Characters>13356</Characters>
  <Application>Microsoft Office Word</Application>
  <DocSecurity>0</DocSecurity>
  <Lines>111</Lines>
  <Paragraphs>31</Paragraphs>
  <ScaleCrop>false</ScaleCrop>
  <Company>Microsoft</Company>
  <LinksUpToDate>false</LinksUpToDate>
  <CharactersWithSpaces>15668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SHU_VIRTUAL</cp:lastModifiedBy>
  <cp:revision>3</cp:revision>
  <dcterms:created xsi:type="dcterms:W3CDTF">2015-01-23T12:25:00Z</dcterms:created>
  <dcterms:modified xsi:type="dcterms:W3CDTF">2015-01-23T12:30:00Z</dcterms:modified>
</cp:coreProperties>
</file>