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7D" w:rsidRDefault="003D1569" w:rsidP="00540A31">
      <w:pPr>
        <w:rPr>
          <w:color w:val="000000"/>
          <w:shd w:val="clear" w:color="auto" w:fill="FFFFFF"/>
        </w:rPr>
      </w:pPr>
      <w:r w:rsidRPr="00540A31">
        <w:rPr>
          <w:bCs/>
          <w:color w:val="000000"/>
          <w:shd w:val="clear" w:color="auto" w:fill="FFFFFF"/>
        </w:rPr>
        <w:t xml:space="preserve">Актуальные проблемы экологии: материалы X международной научно-практической конференции (Гродно, 1-3 октября 2014 г.) : в 2 ч. Ч. 2 / Учреждение образования "Гродненский государственный университет имени Янки Купалы", Uniwersytet w Bialymstoku, Общественное объединение "Белорусский научно-технический союз", Гродненский дом науки и техники ; ред. В. Н. Бурдь ; рец.: О. В. Созинов, В. А. Аверин. - </w:t>
      </w:r>
      <w:r w:rsidR="00540A31" w:rsidRPr="00540A31">
        <w:rPr>
          <w:bCs/>
          <w:color w:val="000000"/>
          <w:shd w:val="clear" w:color="auto" w:fill="FFFFFF"/>
        </w:rPr>
        <w:t>Гродно : [б. и.], 2014. – 171.</w:t>
      </w:r>
      <w:r w:rsidRPr="00540A31">
        <w:rPr>
          <w:color w:val="000000"/>
          <w:shd w:val="clear" w:color="auto" w:fill="FFFFFF"/>
        </w:rPr>
        <w:t xml:space="preserve"> -</w:t>
      </w:r>
      <w:r w:rsidRPr="00540A31">
        <w:rPr>
          <w:rStyle w:val="apple-converted-space"/>
          <w:color w:val="000000"/>
          <w:shd w:val="clear" w:color="auto" w:fill="FFFFFF"/>
        </w:rPr>
        <w:t> </w:t>
      </w:r>
      <w:r w:rsidRPr="00540A31">
        <w:rPr>
          <w:bCs/>
          <w:color w:val="000000"/>
          <w:shd w:val="clear" w:color="auto" w:fill="FFFFFF"/>
        </w:rPr>
        <w:t>С</w:t>
      </w:r>
      <w:r w:rsidRPr="00540A31">
        <w:rPr>
          <w:rStyle w:val="apple-converted-space"/>
          <w:color w:val="000000"/>
          <w:shd w:val="clear" w:color="auto" w:fill="FFFFFF"/>
        </w:rPr>
        <w:t> </w:t>
      </w:r>
      <w:r w:rsidRPr="00540A31">
        <w:rPr>
          <w:color w:val="000000"/>
          <w:shd w:val="clear" w:color="auto" w:fill="FFFFFF"/>
        </w:rPr>
        <w:t>.140-141</w:t>
      </w:r>
      <w:r w:rsidR="00540A31">
        <w:rPr>
          <w:color w:val="000000"/>
          <w:shd w:val="clear" w:color="auto" w:fill="FFFFFF"/>
        </w:rPr>
        <w:t>.</w:t>
      </w:r>
    </w:p>
    <w:p w:rsidR="00540A31" w:rsidRPr="00540A31" w:rsidRDefault="00540A31" w:rsidP="00540A31">
      <w:pPr>
        <w:rPr>
          <w:color w:val="000000"/>
          <w:shd w:val="clear" w:color="auto" w:fill="FFFFFF"/>
        </w:rPr>
      </w:pPr>
      <w:bookmarkStart w:id="0" w:name="_GoBack"/>
      <w:bookmarkEnd w:id="0"/>
    </w:p>
    <w:p w:rsidR="003D1569" w:rsidRDefault="003D1569">
      <w:pPr>
        <w:rPr>
          <w:color w:val="000000"/>
          <w:sz w:val="20"/>
          <w:szCs w:val="20"/>
          <w:shd w:val="clear" w:color="auto" w:fill="FFFFFF"/>
        </w:rPr>
      </w:pP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УДК 37.091.313:502.17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  <w:rPr>
          <w:rFonts w:eastAsia="Times New Roman,Bold"/>
          <w:b/>
          <w:bCs/>
        </w:rPr>
      </w:pPr>
      <w:r w:rsidRPr="003D1569">
        <w:rPr>
          <w:rFonts w:eastAsia="Times New Roman,Bold"/>
          <w:b/>
          <w:bCs/>
        </w:rPr>
        <w:t>В. С. Бирг, Е. Г. Лопатко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  <w:jc w:val="center"/>
        <w:rPr>
          <w:rFonts w:eastAsia="Times New Roman,Bold"/>
          <w:b/>
          <w:bCs/>
        </w:rPr>
      </w:pPr>
      <w:r w:rsidRPr="003D1569">
        <w:rPr>
          <w:rFonts w:eastAsia="Times New Roman,Bold"/>
          <w:b/>
          <w:bCs/>
        </w:rPr>
        <w:t>НАУЧНО</w:t>
      </w:r>
      <w:r w:rsidRPr="003D1569">
        <w:rPr>
          <w:b/>
          <w:bCs/>
        </w:rPr>
        <w:t>-</w:t>
      </w:r>
      <w:r w:rsidRPr="003D1569">
        <w:rPr>
          <w:rFonts w:eastAsia="Times New Roman,Bold"/>
          <w:b/>
          <w:bCs/>
        </w:rPr>
        <w:t>ИССЛЕДОВАТЕЛЬСКАЯ ДЕЯТЕЛЬНОСТЬУЧАЩИХСЯ СРЕДНЕЙ ШКОЛЫВ СОВРЕМЕНОМ КОНТЕКСТЕ ЭКОЛОГИЧЕСКОГО ОБРАЗОВАНИЯ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В условиях происходящей модернизации системы образования все</w:t>
      </w:r>
      <w:r>
        <w:t xml:space="preserve"> чаще звучат призывы обеспечить </w:t>
      </w:r>
      <w:r w:rsidRPr="003D1569">
        <w:t>приоритет его фундаментальности, с которой многие исследователи в нашей стране и за рубежом связываютуровень экологической образованности и культуры общества. Школа является первой инстанцией поформированию научной картины мира и должна обеспечивать целостность образования, что отвечаеттребованиям современной образовательной парадигмы.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В содержании экологического образования можно рассматрива</w:t>
      </w:r>
      <w:r>
        <w:t xml:space="preserve">ть три равноправных компонента: </w:t>
      </w:r>
      <w:r w:rsidRPr="003D1569">
        <w:t>фундаментальность (передача знаний), гуманистическую ориентацию (воспитание) и практическую(прикладную, профессиональную) направленность (развитие умения). Целостность содержания достигаетсялишь при динамическом балансе всех составляющих этой триады [1].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О практической направленности образования написано не</w:t>
      </w:r>
      <w:r>
        <w:t xml:space="preserve">мало. Многие педагоги постоянно </w:t>
      </w:r>
      <w:r w:rsidRPr="003D1569">
        <w:t>подчеркивают недостаточность и педагогическую ошибочность чисто абстрактного изложения учебногоматериала и настаивают на необходимости обучать любому предмету в тесной связи с потребностямипрактики, науки и техники. Здесь необходимо вспомнить принципы политехнизации обучения, связь обученияс жизнью, связь теории и практики, прикладной направленности обучения, что является немаловажнымтребованием к обучению учащихся.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Высокий методологический и методический уровень организации</w:t>
      </w:r>
      <w:r>
        <w:t xml:space="preserve"> практики определяет дальнейшее </w:t>
      </w:r>
      <w:r w:rsidRPr="003D1569">
        <w:t>заинтересованное отношение учащихся к предмету, предопределяет профессиональную ориентацию и создаетпредпосылки для понимания сущности процессов, происходящих в природе [2, 3]. Необходимо развивать уучащихся самостоятельность мышления, творческий подход к рассматриваемой проблеме, создать условия дляразвития творческого потенциала.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Требования к научной работе должны включать следующие этапы: т</w:t>
      </w:r>
      <w:r>
        <w:t xml:space="preserve">ема; актуальность; цель – общая </w:t>
      </w:r>
      <w:r w:rsidRPr="003D1569">
        <w:t xml:space="preserve">направленность темы на конечный результат; задачи – это то, что требует решения в процессе исследования;объект </w:t>
      </w:r>
      <w:r w:rsidRPr="003D1569">
        <w:lastRenderedPageBreak/>
        <w:t>исследования – это процесс, который содержит противоречие и порождает проблемную ситуацию;предмет исследования – это те наиболее значимые с точки зрения практики и теории свойства, стороны,особенности объекта, которые подлежат изучению; методы; гипотеза – это тот результат, который выпланируете получить в конце вашего исследования; практическая значимость – это то, чем важно вашеисследование; заключение – основные выводы вашей работы.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Общую структуру научно-исследовательской работы можно</w:t>
      </w:r>
      <w:r>
        <w:t xml:space="preserve"> представить следующим образом: </w:t>
      </w:r>
      <w:r w:rsidRPr="003D1569">
        <w:t>титульный лист, оглавление, введение, основная часть, заключение, список использованной литературы,приложения.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Нами была разработана серия проектов научно-исследователь</w:t>
      </w:r>
      <w:r>
        <w:t xml:space="preserve">ских работ в рамках внеклассных </w:t>
      </w:r>
      <w:r w:rsidRPr="003D1569">
        <w:t>мероприятий экологической направленности.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Рассмотрим проект школьной научной работы реализованный учащимися ГУО СШ № 212.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Тема проекта: Эколого-фаунистическая характеристика булавоусых чешуекрылых г. Минска.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Цель исследования: Оценка видового состава булавоусых чешуекрылых.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Содержание: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Введение. Актуальность темы.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Глава 1. Роль Чешуекрылых в поддержании биогеоценозов в стабильном состоянии.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1.1. Эколого-фаунистическая характеристика булавоусых Чешуекрылых.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1.2. Роль булавоусых Чешуекрылых как насекомых-опылителей.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Глава 2. Статистическая оценка состояния изучаемого биогеоценоза.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2.1. Видовое разнообразие, биотопическое и географическое распределение представителей булавоусых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Чешуекрылых Минского района.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2.2. Экологическая оценка видового состояния урбоценозаценоза.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Заключение.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Литература.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Таким образом, детальная проработка структуры научно-исследовате</w:t>
      </w:r>
      <w:r>
        <w:t xml:space="preserve">льской работы учащихся является </w:t>
      </w:r>
      <w:r w:rsidRPr="003D1569">
        <w:t>важной составляющей целостного процесса экологического образования.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  <w:jc w:val="center"/>
        <w:rPr>
          <w:rFonts w:eastAsia="Times New Roman,Italic"/>
          <w:iCs/>
        </w:rPr>
      </w:pPr>
      <w:r w:rsidRPr="003D1569">
        <w:rPr>
          <w:rFonts w:eastAsia="Times New Roman,Italic"/>
          <w:iCs/>
        </w:rPr>
        <w:t>Список литературы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1. Баранцев, Р. Г. Тринитарная методология в синергетике / Р. Г. Баранцев // Перспективы синергетики в XXI веке: сб.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материалов междунар. науч. конф.: В 2 т. – Белгород, 2003. – Т. 1.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2. Краевский, В. В. Общие основы педагогики / В. В. Краевский. – М., 2003.</w:t>
      </w:r>
    </w:p>
    <w:p w:rsidR="003D1569" w:rsidRPr="003D1569" w:rsidRDefault="003D1569" w:rsidP="003D1569">
      <w:pPr>
        <w:autoSpaceDE w:val="0"/>
        <w:autoSpaceDN w:val="0"/>
        <w:adjustRightInd w:val="0"/>
        <w:ind w:firstLine="709"/>
      </w:pPr>
      <w:r w:rsidRPr="003D1569">
        <w:t>3. Садовничий, В. А. Традиции и современность / В. А. Садовничий // М.: Высшее образование в России, 2003. – № 3.</w:t>
      </w:r>
    </w:p>
    <w:p w:rsidR="003D1569" w:rsidRPr="003D1569" w:rsidRDefault="003D1569" w:rsidP="003D1569">
      <w:pPr>
        <w:ind w:firstLine="709"/>
      </w:pPr>
    </w:p>
    <w:sectPr w:rsidR="003D1569" w:rsidRPr="003D1569" w:rsidSect="00D90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81" w:rsidRDefault="00D77781" w:rsidP="00055287">
      <w:r>
        <w:separator/>
      </w:r>
    </w:p>
  </w:endnote>
  <w:endnote w:type="continuationSeparator" w:id="1">
    <w:p w:rsidR="00D77781" w:rsidRDefault="00D77781" w:rsidP="0005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81" w:rsidRDefault="00D77781" w:rsidP="00055287">
      <w:r>
        <w:separator/>
      </w:r>
    </w:p>
  </w:footnote>
  <w:footnote w:type="continuationSeparator" w:id="1">
    <w:p w:rsidR="00D77781" w:rsidRDefault="00D77781" w:rsidP="0005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422" o:spid="_x0000_s2050" type="#_x0000_t136" style="position:absolute;left:0;text-align:left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423" o:spid="_x0000_s2051" type="#_x0000_t136" style="position:absolute;left:0;text-align:left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87" w:rsidRDefault="000552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421" o:spid="_x0000_s2049" type="#_x0000_t136" style="position:absolute;left:0;text-align:left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4B89"/>
    <w:rsid w:val="00055287"/>
    <w:rsid w:val="003D1569"/>
    <w:rsid w:val="00540A31"/>
    <w:rsid w:val="0056192C"/>
    <w:rsid w:val="007C70B5"/>
    <w:rsid w:val="00AD107D"/>
    <w:rsid w:val="00C54B89"/>
    <w:rsid w:val="00CC36CB"/>
    <w:rsid w:val="00D77781"/>
    <w:rsid w:val="00D9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569"/>
  </w:style>
  <w:style w:type="paragraph" w:styleId="a3">
    <w:name w:val="header"/>
    <w:basedOn w:val="a"/>
    <w:link w:val="a4"/>
    <w:uiPriority w:val="99"/>
    <w:semiHidden/>
    <w:unhideWhenUsed/>
    <w:rsid w:val="00055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287"/>
  </w:style>
  <w:style w:type="paragraph" w:styleId="a5">
    <w:name w:val="footer"/>
    <w:basedOn w:val="a"/>
    <w:link w:val="a6"/>
    <w:uiPriority w:val="99"/>
    <w:semiHidden/>
    <w:unhideWhenUsed/>
    <w:rsid w:val="00055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685</Words>
  <Characters>3907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2016-11-03T19:32:00Z</dcterms:created>
  <dcterms:modified xsi:type="dcterms:W3CDTF">2016-11-08T11:46:00Z</dcterms:modified>
</cp:coreProperties>
</file>