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025" w:rsidRPr="00FE015D" w:rsidRDefault="00265025" w:rsidP="00265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FE015D">
        <w:rPr>
          <w:rFonts w:ascii="Times New Roman" w:eastAsia="Times New Roman" w:hAnsi="Times New Roman" w:cs="Times New Roman"/>
          <w:sz w:val="28"/>
          <w:szCs w:val="28"/>
        </w:rPr>
        <w:t>Калюнов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</w:rPr>
        <w:t xml:space="preserve">, Б.Н.   Оценка качества преподавания учебной дисциплины «Физическая культура» в учреждении высшего образования. /Б.Н. </w:t>
      </w:r>
      <w:proofErr w:type="spellStart"/>
      <w:r w:rsidRPr="00FE015D">
        <w:rPr>
          <w:rFonts w:ascii="Times New Roman" w:eastAsia="Times New Roman" w:hAnsi="Times New Roman" w:cs="Times New Roman"/>
          <w:sz w:val="28"/>
          <w:szCs w:val="28"/>
        </w:rPr>
        <w:t>Калюнов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</w:rPr>
        <w:t xml:space="preserve">, И.В. </w:t>
      </w:r>
      <w:proofErr w:type="spellStart"/>
      <w:r w:rsidRPr="00FE015D">
        <w:rPr>
          <w:rFonts w:ascii="Times New Roman" w:eastAsia="Times New Roman" w:hAnsi="Times New Roman" w:cs="Times New Roman"/>
          <w:sz w:val="28"/>
          <w:szCs w:val="28"/>
        </w:rPr>
        <w:t>Григоревич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</w:rPr>
        <w:t xml:space="preserve"> //Экономическое образование и современные педагогические технологии. Экономика и предпринимательство. Сборник научных работ. Выпуск 7. /ЧУО «Ин-т </w:t>
      </w:r>
      <w:proofErr w:type="spellStart"/>
      <w:r w:rsidRPr="00FE015D">
        <w:rPr>
          <w:rFonts w:ascii="Times New Roman" w:eastAsia="Times New Roman" w:hAnsi="Times New Roman" w:cs="Times New Roman"/>
          <w:sz w:val="28"/>
          <w:szCs w:val="28"/>
        </w:rPr>
        <w:t>предпринимат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E015D">
        <w:rPr>
          <w:rFonts w:ascii="Times New Roman" w:eastAsia="Times New Roman" w:hAnsi="Times New Roman" w:cs="Times New Roman"/>
          <w:sz w:val="28"/>
          <w:szCs w:val="28"/>
        </w:rPr>
        <w:t>деят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</w:rPr>
        <w:t>.»;  под общ</w:t>
      </w:r>
      <w:proofErr w:type="gramStart"/>
      <w:r w:rsidRPr="00FE015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E0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E015D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FE015D">
        <w:rPr>
          <w:rFonts w:ascii="Times New Roman" w:eastAsia="Times New Roman" w:hAnsi="Times New Roman" w:cs="Times New Roman"/>
          <w:sz w:val="28"/>
          <w:szCs w:val="28"/>
        </w:rPr>
        <w:t xml:space="preserve">ед. В.В. </w:t>
      </w:r>
      <w:proofErr w:type="spellStart"/>
      <w:r w:rsidRPr="00FE015D">
        <w:rPr>
          <w:rFonts w:ascii="Times New Roman" w:eastAsia="Times New Roman" w:hAnsi="Times New Roman" w:cs="Times New Roman"/>
          <w:sz w:val="28"/>
          <w:szCs w:val="28"/>
        </w:rPr>
        <w:t>Шевердова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</w:rPr>
        <w:t xml:space="preserve">. – Минск, </w:t>
      </w:r>
      <w:r w:rsidRPr="00FE015D">
        <w:rPr>
          <w:rFonts w:ascii="Times New Roman" w:eastAsia="Times New Roman" w:hAnsi="Times New Roman" w:cs="Times New Roman"/>
          <w:sz w:val="28"/>
          <w:szCs w:val="28"/>
          <w:lang w:val="be-BY"/>
        </w:rPr>
        <w:t>Ковчег,</w:t>
      </w:r>
      <w:r w:rsidRPr="00FE015D">
        <w:rPr>
          <w:rFonts w:ascii="Times New Roman" w:eastAsia="Times New Roman" w:hAnsi="Times New Roman" w:cs="Times New Roman"/>
          <w:sz w:val="28"/>
          <w:szCs w:val="28"/>
        </w:rPr>
        <w:t xml:space="preserve"> 2013.  - С.9-13</w:t>
      </w:r>
    </w:p>
    <w:p w:rsidR="00265025" w:rsidRDefault="00265025" w:rsidP="002650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025" w:rsidRDefault="00265025" w:rsidP="002650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025" w:rsidRPr="00FE015D" w:rsidRDefault="00265025" w:rsidP="002650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15D">
        <w:rPr>
          <w:rFonts w:ascii="Times New Roman" w:hAnsi="Times New Roman" w:cs="Times New Roman"/>
          <w:b/>
          <w:sz w:val="28"/>
          <w:szCs w:val="28"/>
        </w:rPr>
        <w:t xml:space="preserve">ОЦЕНКА КАЧЕСТВА ПРЕПОДАВАНИЯ </w:t>
      </w:r>
      <w:proofErr w:type="gramStart"/>
      <w:r w:rsidRPr="00FE015D">
        <w:rPr>
          <w:rFonts w:ascii="Times New Roman" w:hAnsi="Times New Roman" w:cs="Times New Roman"/>
          <w:b/>
          <w:sz w:val="28"/>
          <w:szCs w:val="28"/>
        </w:rPr>
        <w:t>УЧЕБНОЙ</w:t>
      </w:r>
      <w:proofErr w:type="gramEnd"/>
      <w:r w:rsidRPr="00FE01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5025" w:rsidRPr="00FE015D" w:rsidRDefault="00265025" w:rsidP="002650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15D">
        <w:rPr>
          <w:rFonts w:ascii="Times New Roman" w:hAnsi="Times New Roman" w:cs="Times New Roman"/>
          <w:b/>
          <w:sz w:val="28"/>
          <w:szCs w:val="28"/>
        </w:rPr>
        <w:t>ДИСЦИПЛИНЫ «ФИЗИЧЕСКАЯ КУЛЬТУРА»  В ВУЗЕ</w:t>
      </w:r>
    </w:p>
    <w:p w:rsidR="00265025" w:rsidRPr="00FE015D" w:rsidRDefault="00265025" w:rsidP="002650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5025" w:rsidRPr="00FE015D" w:rsidRDefault="00265025" w:rsidP="002650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E015D">
        <w:rPr>
          <w:rFonts w:ascii="Times New Roman" w:hAnsi="Times New Roman" w:cs="Times New Roman"/>
          <w:b/>
          <w:i/>
          <w:sz w:val="28"/>
          <w:szCs w:val="28"/>
        </w:rPr>
        <w:t>Калюнов</w:t>
      </w:r>
      <w:proofErr w:type="spellEnd"/>
      <w:r w:rsidRPr="00FE015D">
        <w:rPr>
          <w:rFonts w:ascii="Times New Roman" w:hAnsi="Times New Roman" w:cs="Times New Roman"/>
          <w:b/>
          <w:i/>
          <w:sz w:val="28"/>
          <w:szCs w:val="28"/>
        </w:rPr>
        <w:t xml:space="preserve"> Б.Н</w:t>
      </w:r>
      <w:r w:rsidRPr="00FE015D">
        <w:rPr>
          <w:rFonts w:ascii="Times New Roman" w:hAnsi="Times New Roman" w:cs="Times New Roman"/>
          <w:b/>
          <w:sz w:val="28"/>
          <w:szCs w:val="28"/>
        </w:rPr>
        <w:t xml:space="preserve">., кандидат педагогических наук, доцент, </w:t>
      </w:r>
    </w:p>
    <w:p w:rsidR="00265025" w:rsidRPr="00FE015D" w:rsidRDefault="00265025" w:rsidP="002650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15D">
        <w:rPr>
          <w:rFonts w:ascii="Times New Roman" w:hAnsi="Times New Roman" w:cs="Times New Roman"/>
          <w:b/>
          <w:sz w:val="28"/>
          <w:szCs w:val="28"/>
        </w:rPr>
        <w:t xml:space="preserve">Институт предпринимательской деятельности; </w:t>
      </w:r>
    </w:p>
    <w:p w:rsidR="00265025" w:rsidRPr="00FE015D" w:rsidRDefault="00265025" w:rsidP="002650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E015D">
        <w:rPr>
          <w:rFonts w:ascii="Times New Roman" w:hAnsi="Times New Roman" w:cs="Times New Roman"/>
          <w:b/>
          <w:i/>
          <w:sz w:val="28"/>
          <w:szCs w:val="28"/>
        </w:rPr>
        <w:t>Григоревич</w:t>
      </w:r>
      <w:proofErr w:type="spellEnd"/>
      <w:r w:rsidRPr="00FE015D">
        <w:rPr>
          <w:rFonts w:ascii="Times New Roman" w:hAnsi="Times New Roman" w:cs="Times New Roman"/>
          <w:b/>
          <w:i/>
          <w:sz w:val="28"/>
          <w:szCs w:val="28"/>
        </w:rPr>
        <w:t xml:space="preserve"> И.В</w:t>
      </w:r>
      <w:r w:rsidRPr="00FE015D">
        <w:rPr>
          <w:rFonts w:ascii="Times New Roman" w:hAnsi="Times New Roman" w:cs="Times New Roman"/>
          <w:b/>
          <w:sz w:val="28"/>
          <w:szCs w:val="28"/>
        </w:rPr>
        <w:t>., кандидат педагогических наук, доцент,</w:t>
      </w:r>
    </w:p>
    <w:p w:rsidR="00265025" w:rsidRPr="00FE015D" w:rsidRDefault="00265025" w:rsidP="002650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15D">
        <w:rPr>
          <w:rFonts w:ascii="Times New Roman" w:hAnsi="Times New Roman" w:cs="Times New Roman"/>
          <w:b/>
          <w:sz w:val="28"/>
          <w:szCs w:val="28"/>
        </w:rPr>
        <w:t xml:space="preserve">Белорусский государственный педагогический университет </w:t>
      </w:r>
    </w:p>
    <w:p w:rsidR="00265025" w:rsidRPr="00FE015D" w:rsidRDefault="00265025" w:rsidP="002650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15D">
        <w:rPr>
          <w:rFonts w:ascii="Times New Roman" w:hAnsi="Times New Roman" w:cs="Times New Roman"/>
          <w:b/>
          <w:sz w:val="28"/>
          <w:szCs w:val="28"/>
        </w:rPr>
        <w:t xml:space="preserve">имени Максима Танка </w:t>
      </w:r>
    </w:p>
    <w:p w:rsidR="00265025" w:rsidRPr="00FE015D" w:rsidRDefault="00265025" w:rsidP="002650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5025" w:rsidRPr="00FE015D" w:rsidRDefault="00265025" w:rsidP="0026502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015D">
        <w:rPr>
          <w:sz w:val="28"/>
          <w:szCs w:val="28"/>
        </w:rPr>
        <w:t xml:space="preserve">  </w:t>
      </w:r>
      <w:r w:rsidRPr="00FE015D">
        <w:rPr>
          <w:rFonts w:ascii="Times New Roman" w:hAnsi="Times New Roman" w:cs="Times New Roman"/>
          <w:i/>
          <w:sz w:val="28"/>
          <w:szCs w:val="28"/>
        </w:rPr>
        <w:t xml:space="preserve">В статье показывается значимость физической культуры как учебной </w:t>
      </w:r>
      <w:proofErr w:type="gramStart"/>
      <w:r w:rsidRPr="00FE015D">
        <w:rPr>
          <w:rFonts w:ascii="Times New Roman" w:hAnsi="Times New Roman" w:cs="Times New Roman"/>
          <w:i/>
          <w:sz w:val="28"/>
          <w:szCs w:val="28"/>
        </w:rPr>
        <w:t>дисциплины</w:t>
      </w:r>
      <w:proofErr w:type="gramEnd"/>
      <w:r w:rsidRPr="00FE015D">
        <w:rPr>
          <w:rFonts w:ascii="Times New Roman" w:hAnsi="Times New Roman" w:cs="Times New Roman"/>
          <w:i/>
          <w:sz w:val="28"/>
          <w:szCs w:val="28"/>
        </w:rPr>
        <w:t xml:space="preserve"> и р</w:t>
      </w:r>
      <w:r w:rsidRPr="00FE01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ассматриваются критерии оценки качества ее преподавания. </w:t>
      </w:r>
      <w:r w:rsidRPr="00FE015D">
        <w:rPr>
          <w:rFonts w:ascii="Times New Roman" w:hAnsi="Times New Roman" w:cs="Times New Roman"/>
          <w:i/>
          <w:color w:val="000000"/>
          <w:sz w:val="28"/>
          <w:szCs w:val="28"/>
        </w:rPr>
        <w:t>Раскрывается</w:t>
      </w:r>
      <w:r w:rsidRPr="00FE015D">
        <w:rPr>
          <w:rFonts w:ascii="Times New Roman" w:eastAsia="Calibri" w:hAnsi="Times New Roman" w:cs="Times New Roman"/>
          <w:i/>
          <w:sz w:val="28"/>
          <w:szCs w:val="28"/>
        </w:rPr>
        <w:t xml:space="preserve"> степень удовлетворенности преподавания предмета «Физическая культура» студентами и характеризуется качество образовательных услуг.</w:t>
      </w:r>
    </w:p>
    <w:p w:rsidR="00265025" w:rsidRPr="00FE015D" w:rsidRDefault="00265025" w:rsidP="0026502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E015D">
        <w:rPr>
          <w:rFonts w:ascii="Times New Roman" w:hAnsi="Times New Roman" w:cs="Times New Roman"/>
          <w:i/>
          <w:sz w:val="28"/>
          <w:szCs w:val="28"/>
          <w:lang w:val="en"/>
        </w:rPr>
        <w:t xml:space="preserve">The article shows the importance of physical education as an academic discipline and discusses criteria for assessing the quality of its teaching. </w:t>
      </w:r>
      <w:r w:rsidRPr="00FE015D">
        <w:rPr>
          <w:rFonts w:ascii="Times New Roman" w:hAnsi="Times New Roman" w:cs="Times New Roman"/>
          <w:i/>
          <w:sz w:val="28"/>
          <w:szCs w:val="28"/>
          <w:lang w:val="en-US"/>
        </w:rPr>
        <w:t>Students</w:t>
      </w:r>
      <w:r w:rsidRPr="00FE015D">
        <w:rPr>
          <w:rFonts w:ascii="Times New Roman" w:hAnsi="Times New Roman" w:cs="Times New Roman"/>
          <w:i/>
          <w:sz w:val="28"/>
          <w:szCs w:val="28"/>
          <w:lang w:val="en"/>
        </w:rPr>
        <w:t xml:space="preserve"> reveal the degree of satisfaction of teaching the subject "Physical education", and the quality of educational services is characterized.</w:t>
      </w:r>
    </w:p>
    <w:p w:rsidR="00265025" w:rsidRPr="00FE015D" w:rsidRDefault="00265025" w:rsidP="0026502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265025" w:rsidRPr="00FE015D" w:rsidRDefault="00265025" w:rsidP="00265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15D">
        <w:rPr>
          <w:rFonts w:ascii="Times New Roman" w:hAnsi="Times New Roman" w:cs="Times New Roman"/>
          <w:sz w:val="28"/>
          <w:szCs w:val="28"/>
        </w:rPr>
        <w:t>Актуальность.</w:t>
      </w:r>
      <w:r w:rsidRPr="00FE015D">
        <w:rPr>
          <w:sz w:val="28"/>
          <w:szCs w:val="28"/>
        </w:rPr>
        <w:t xml:space="preserve">  </w:t>
      </w:r>
      <w:r w:rsidRPr="00FE015D">
        <w:rPr>
          <w:rFonts w:ascii="Times New Roman" w:hAnsi="Times New Roman" w:cs="Times New Roman"/>
          <w:sz w:val="28"/>
          <w:szCs w:val="28"/>
        </w:rPr>
        <w:t>Физическая культура  в  высшей  школе  является  учебной  дисциплиной,  формирующей  общую  и  профессиональную  культуру  личности  будущего  специалиста. Она  дает  студенту  необходимые  знания,  умения  и  навыки,  воздействует на  формирование  потребности  в  систематическом  физическом  самосовершенствовании [1,5,6].</w:t>
      </w:r>
    </w:p>
    <w:p w:rsidR="00265025" w:rsidRPr="00FE015D" w:rsidRDefault="00265025" w:rsidP="00265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 как учебная дисциплина направлена на поддержание социально-обоснованного уровня физической подготовленности студентов, противодействие средствами физической культуры и спорта негативным факторам,  влияющим на здоровье и учебу в вузе, умение самостоятельно использовать средства физической культуры в труде и отдыхе, формирование общей и профессиональной культуры, здорового образ жизни [2,4].</w:t>
      </w:r>
    </w:p>
    <w:p w:rsidR="00265025" w:rsidRPr="00FE015D" w:rsidRDefault="00265025" w:rsidP="00265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 и спорт укрепляют здоровье, повышают физическую и умственную работоспособность, создавая базу для успешного обучения и дальнейшей высокоэффективной работы в любой сфере [3,7].</w:t>
      </w:r>
    </w:p>
    <w:p w:rsidR="00265025" w:rsidRPr="00FE015D" w:rsidRDefault="00265025" w:rsidP="00265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15D">
        <w:rPr>
          <w:rFonts w:ascii="Times New Roman" w:hAnsi="Times New Roman" w:cs="Times New Roman"/>
          <w:sz w:val="28"/>
          <w:szCs w:val="28"/>
        </w:rPr>
        <w:lastRenderedPageBreak/>
        <w:t>Цель работы.  Определить удовлетворенность студентов вуза предметом «Физическая культура» на основании критериев системы</w:t>
      </w:r>
      <w:r w:rsidRPr="00FE015D">
        <w:rPr>
          <w:rFonts w:ascii="Times New Roman" w:eastAsia="Calibri" w:hAnsi="Times New Roman" w:cs="Times New Roman"/>
          <w:sz w:val="28"/>
          <w:szCs w:val="28"/>
        </w:rPr>
        <w:t xml:space="preserve"> менеджмента качества</w:t>
      </w:r>
      <w:r w:rsidRPr="00FE015D">
        <w:rPr>
          <w:rFonts w:ascii="Times New Roman" w:hAnsi="Times New Roman" w:cs="Times New Roman"/>
          <w:sz w:val="28"/>
          <w:szCs w:val="28"/>
        </w:rPr>
        <w:t>.</w:t>
      </w:r>
    </w:p>
    <w:p w:rsidR="00265025" w:rsidRPr="00FE015D" w:rsidRDefault="00265025" w:rsidP="00265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15D">
        <w:rPr>
          <w:rFonts w:ascii="Times New Roman" w:hAnsi="Times New Roman" w:cs="Times New Roman"/>
          <w:sz w:val="28"/>
          <w:szCs w:val="28"/>
        </w:rPr>
        <w:t xml:space="preserve">Методы и организация исследования. В университете было проведено анкетирование, в котором приняли участие 240 студентов 3 курса одиннадцати факультетов.   Опрос проводился в октябре 2012 года. Также проводилась статистическая обработка материалов и их анализ.           </w:t>
      </w:r>
    </w:p>
    <w:p w:rsidR="00265025" w:rsidRPr="00FE015D" w:rsidRDefault="00265025" w:rsidP="002650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FE015D">
        <w:rPr>
          <w:rFonts w:ascii="Times New Roman" w:eastAsia="Calibri" w:hAnsi="Times New Roman" w:cs="Times New Roman"/>
          <w:sz w:val="28"/>
          <w:szCs w:val="28"/>
        </w:rPr>
        <w:t>Результаты и их обсуждение. Профессионализмом преподавателей, читающих лекции довольны 78% студентов (рис. 1).  Еще больше респондентов</w:t>
      </w:r>
    </w:p>
    <w:p w:rsidR="00265025" w:rsidRPr="00FE015D" w:rsidRDefault="00265025" w:rsidP="00265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15D">
        <w:rPr>
          <w:rFonts w:ascii="Times New Roman" w:hAnsi="Times New Roman" w:cs="Times New Roman"/>
          <w:noProof/>
          <w:sz w:val="28"/>
          <w:szCs w:val="28"/>
          <w:shd w:val="clear" w:color="auto" w:fill="FFFFFF" w:themeFill="background1"/>
          <w:lang w:eastAsia="ru-RU"/>
        </w:rPr>
        <w:drawing>
          <wp:inline distT="0" distB="0" distL="0" distR="0" wp14:anchorId="74716D57" wp14:editId="3E7CA0A3">
            <wp:extent cx="6124575" cy="32289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65025" w:rsidRPr="00FE015D" w:rsidRDefault="00265025" w:rsidP="002650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E01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Рис. </w:t>
      </w:r>
      <w:r w:rsidRPr="00FE01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fldChar w:fldCharType="begin"/>
      </w:r>
      <w:r w:rsidRPr="00FE01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instrText xml:space="preserve"> SEQ Рисунок \* ARABIC </w:instrText>
      </w:r>
      <w:r w:rsidRPr="00FE01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fldChar w:fldCharType="separate"/>
      </w:r>
      <w:r w:rsidRPr="00FE015D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  <w:t>1</w:t>
      </w:r>
      <w:r w:rsidRPr="00FE01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fldChar w:fldCharType="end"/>
      </w:r>
      <w:r w:rsidRPr="00FE01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Профессионализм преподавателя и отношение к студентам.</w:t>
      </w:r>
    </w:p>
    <w:p w:rsidR="00265025" w:rsidRPr="00FE015D" w:rsidRDefault="00265025" w:rsidP="002650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5025" w:rsidRPr="00FE015D" w:rsidRDefault="00265025" w:rsidP="00265025">
      <w:pPr>
        <w:spacing w:after="0" w:line="240" w:lineRule="auto"/>
        <w:jc w:val="both"/>
      </w:pPr>
      <w:r w:rsidRPr="00FE015D">
        <w:rPr>
          <w:rFonts w:ascii="Times New Roman" w:eastAsia="Calibri" w:hAnsi="Times New Roman" w:cs="Times New Roman"/>
          <w:sz w:val="28"/>
          <w:szCs w:val="28"/>
        </w:rPr>
        <w:t>(83,2%) удовлетворены  профессионализмом преподавателей, которые</w:t>
      </w:r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 практические занятия.</w:t>
      </w:r>
      <w:r w:rsidRPr="00FE015D"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Pr="00FE015D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Отношение  преподавателей  к студентам устраивают  80,2 %  девушек и юношей университета.   Если оценивать суммарно по этой группе факторов, то ими </w:t>
      </w:r>
      <w:proofErr w:type="gramStart"/>
      <w:r w:rsidRPr="00FE015D">
        <w:rPr>
          <w:rFonts w:ascii="Times New Roman" w:hAnsi="Times New Roman" w:cs="Times New Roman"/>
          <w:bCs/>
          <w:spacing w:val="-4"/>
          <w:sz w:val="28"/>
          <w:szCs w:val="28"/>
        </w:rPr>
        <w:t>довольны</w:t>
      </w:r>
      <w:proofErr w:type="gramEnd"/>
      <w:r w:rsidRPr="00FE015D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80,5% обучающихся.</w:t>
      </w:r>
    </w:p>
    <w:p w:rsidR="00265025" w:rsidRPr="00FE015D" w:rsidRDefault="00265025" w:rsidP="002650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FE015D">
        <w:rPr>
          <w:rFonts w:ascii="Times New Roman" w:hAnsi="Times New Roman" w:cs="Times New Roman"/>
          <w:spacing w:val="-4"/>
          <w:sz w:val="28"/>
          <w:szCs w:val="28"/>
        </w:rPr>
        <w:t>Из ответов видно, что предметом «Физическая культура» студенты удовлетворены, отношения с преподавателями и</w:t>
      </w:r>
      <w:r w:rsidRPr="00FE015D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уровень профессионального преподавания</w:t>
      </w:r>
      <w:r w:rsidRPr="00FE015D">
        <w:rPr>
          <w:rFonts w:ascii="Times New Roman" w:hAnsi="Times New Roman" w:cs="Times New Roman"/>
          <w:spacing w:val="-4"/>
          <w:sz w:val="28"/>
          <w:szCs w:val="28"/>
        </w:rPr>
        <w:t xml:space="preserve"> их устраивают</w:t>
      </w:r>
      <w:r w:rsidRPr="00FE015D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. </w:t>
      </w:r>
    </w:p>
    <w:p w:rsidR="00265025" w:rsidRPr="00FE015D" w:rsidRDefault="00265025" w:rsidP="002650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265025" w:rsidRPr="00FE015D" w:rsidRDefault="00265025" w:rsidP="00265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15D">
        <w:rPr>
          <w:noProof/>
          <w:shd w:val="clear" w:color="auto" w:fill="FFFFFF" w:themeFill="background1"/>
          <w:lang w:eastAsia="ru-RU"/>
        </w:rPr>
        <w:lastRenderedPageBreak/>
        <w:drawing>
          <wp:inline distT="0" distB="0" distL="0" distR="0" wp14:anchorId="4E2B549F" wp14:editId="6F5A3592">
            <wp:extent cx="6134100" cy="330517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65025" w:rsidRPr="00FE015D" w:rsidRDefault="00265025" w:rsidP="0026502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E01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Рис. 2. Вовлеченность студентов в активную работу</w:t>
      </w:r>
    </w:p>
    <w:p w:rsidR="00265025" w:rsidRPr="00FE015D" w:rsidRDefault="00265025" w:rsidP="00265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активную работу на лекциях преподавателями </w:t>
      </w:r>
      <w:proofErr w:type="gramStart"/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вовлечены</w:t>
      </w:r>
      <w:proofErr w:type="gramEnd"/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59,1% студентов </w:t>
      </w:r>
      <w:r w:rsidRPr="00FE015D">
        <w:rPr>
          <w:rFonts w:ascii="Times New Roman" w:eastAsia="Calibri" w:hAnsi="Times New Roman" w:cs="Times New Roman"/>
          <w:sz w:val="28"/>
          <w:szCs w:val="28"/>
        </w:rPr>
        <w:t xml:space="preserve">(рис. 2).  </w:t>
      </w:r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касается практических занятий, то в активную работу</w:t>
      </w:r>
    </w:p>
    <w:p w:rsidR="00265025" w:rsidRPr="00FE015D" w:rsidRDefault="00265025" w:rsidP="002650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их проведения вовлекаются 77,3% обучающихся.  Суммарно по двум этим факторам активно привлекаются к работе на лекциях и практических занятиях 68,3% девушек и юношей.</w:t>
      </w:r>
    </w:p>
    <w:p w:rsidR="00265025" w:rsidRPr="00FE015D" w:rsidRDefault="00265025" w:rsidP="002650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1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Объем учебной дисциплины 74,1% опрошенных юношей и девушек считают оптимальным </w:t>
      </w:r>
      <w:r w:rsidRPr="00FE015D">
        <w:rPr>
          <w:rFonts w:ascii="Times New Roman" w:eastAsia="Calibri" w:hAnsi="Times New Roman" w:cs="Times New Roman"/>
          <w:sz w:val="28"/>
          <w:szCs w:val="28"/>
        </w:rPr>
        <w:t>(рис. 3)</w:t>
      </w:r>
      <w:r w:rsidRPr="00FE01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 </w:t>
      </w:r>
      <w:r w:rsidRPr="00FE015D">
        <w:rPr>
          <w:rFonts w:ascii="Times New Roman" w:eastAsia="Calibri" w:hAnsi="Times New Roman" w:cs="Times New Roman"/>
          <w:sz w:val="28"/>
          <w:szCs w:val="28"/>
        </w:rPr>
        <w:t>Также 76,7% студентов отмечают, что в</w:t>
      </w:r>
      <w:r w:rsidRPr="00FE01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время обучения в вузе </w:t>
      </w:r>
      <w:r w:rsidRPr="00FE015D">
        <w:rPr>
          <w:rFonts w:ascii="Times New Roman" w:eastAsia="Calibri" w:hAnsi="Times New Roman" w:cs="Times New Roman"/>
          <w:sz w:val="28"/>
          <w:szCs w:val="28"/>
        </w:rPr>
        <w:t>они</w:t>
      </w:r>
      <w:r w:rsidRPr="00FE01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получили навыки для самостоятельного пополнения з</w:t>
      </w:r>
      <w:r w:rsidRPr="00FE015D">
        <w:rPr>
          <w:rFonts w:ascii="Times New Roman" w:eastAsia="Calibri" w:hAnsi="Times New Roman" w:cs="Times New Roman"/>
          <w:sz w:val="28"/>
          <w:szCs w:val="28"/>
        </w:rPr>
        <w:t>наний в сфере физической культуры и спорта и использования их на практике.</w:t>
      </w:r>
    </w:p>
    <w:p w:rsidR="00265025" w:rsidRPr="00FE015D" w:rsidRDefault="00265025" w:rsidP="0026502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015D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265025" w:rsidRPr="00FE015D" w:rsidRDefault="00265025" w:rsidP="00265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15D">
        <w:rPr>
          <w:noProof/>
          <w:lang w:eastAsia="ru-RU"/>
        </w:rPr>
        <w:lastRenderedPageBreak/>
        <w:drawing>
          <wp:inline distT="0" distB="0" distL="0" distR="0" wp14:anchorId="72C60BC3" wp14:editId="32BE1D12">
            <wp:extent cx="6048375" cy="421005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65025" w:rsidRPr="00FE015D" w:rsidRDefault="00265025" w:rsidP="0026502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015D">
        <w:rPr>
          <w:rFonts w:ascii="Times New Roman" w:hAnsi="Times New Roman" w:cs="Times New Roman"/>
          <w:color w:val="000000" w:themeColor="text1"/>
          <w:sz w:val="28"/>
          <w:szCs w:val="28"/>
        </w:rPr>
        <w:t>Рис. 3</w:t>
      </w:r>
      <w:r w:rsidRPr="00FE01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FE015D">
        <w:rPr>
          <w:rFonts w:ascii="Times New Roman" w:hAnsi="Times New Roman" w:cs="Times New Roman"/>
          <w:color w:val="000000" w:themeColor="text1"/>
          <w:sz w:val="28"/>
          <w:szCs w:val="28"/>
        </w:rPr>
        <w:t>Объем и полезность учебной дисциплины «Физическая культура», достаточность учебно-методических материалов.</w:t>
      </w:r>
    </w:p>
    <w:p w:rsidR="00265025" w:rsidRPr="00FE015D" w:rsidRDefault="00265025" w:rsidP="00265025">
      <w:pPr>
        <w:spacing w:after="0" w:line="240" w:lineRule="auto"/>
        <w:ind w:firstLine="709"/>
        <w:jc w:val="center"/>
      </w:pPr>
    </w:p>
    <w:p w:rsidR="00265025" w:rsidRPr="00FE015D" w:rsidRDefault="00265025" w:rsidP="002650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01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Учебников и учебно-методических материалов достаточно по дисциплине «Физическая культура», так высказались 58% респондентов. Этот критерий оценивается как допустимый. </w:t>
      </w:r>
    </w:p>
    <w:p w:rsidR="00265025" w:rsidRPr="00FE015D" w:rsidRDefault="00265025" w:rsidP="002650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01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Данная дисциплина полезна для дальнейшей учебы, что отмечают 68,6% девушек и юношей, обучающихся в вузе и соответственно 64,6%  - для будущей профессиональной деятельности. </w:t>
      </w:r>
    </w:p>
    <w:p w:rsidR="00265025" w:rsidRPr="00FE015D" w:rsidRDefault="00265025" w:rsidP="0026502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01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Если рассмотреть результаты отдельно  по факультетам (рис. 4), то здесь необходимо отметить, что только 48% студентов физического факультета и 52% студентов факультета естествознания удовлетворены качеством преподавания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 </w:t>
      </w:r>
      <w:r w:rsidRPr="00FE015D">
        <w:rPr>
          <w:rFonts w:ascii="Times New Roman" w:hAnsi="Times New Roman" w:cs="Times New Roman"/>
          <w:color w:val="000000" w:themeColor="text1"/>
          <w:sz w:val="28"/>
          <w:szCs w:val="28"/>
        </w:rPr>
        <w:t>«Физическая культура»</w:t>
      </w:r>
      <w:r w:rsidRPr="00FE015D">
        <w:rPr>
          <w:rFonts w:ascii="Times New Roman" w:eastAsia="Calibri" w:hAnsi="Times New Roman" w:cs="Times New Roman"/>
          <w:color w:val="000000"/>
          <w:sz w:val="28"/>
          <w:szCs w:val="28"/>
        </w:rPr>
        <w:t>, которое оценивается как допустимое.</w:t>
      </w:r>
    </w:p>
    <w:p w:rsidR="00265025" w:rsidRPr="00FE015D" w:rsidRDefault="00265025" w:rsidP="002650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15D">
        <w:rPr>
          <w:rFonts w:ascii="Times New Roman" w:hAnsi="Times New Roman" w:cs="Times New Roman"/>
          <w:spacing w:val="-4"/>
          <w:sz w:val="28"/>
          <w:szCs w:val="28"/>
        </w:rPr>
        <w:t>На пяти факультетах (</w:t>
      </w:r>
      <w:proofErr w:type="gramStart"/>
      <w:r w:rsidRPr="00FE015D">
        <w:rPr>
          <w:rFonts w:ascii="Times New Roman" w:hAnsi="Times New Roman" w:cs="Times New Roman"/>
          <w:spacing w:val="-4"/>
          <w:sz w:val="28"/>
          <w:szCs w:val="28"/>
        </w:rPr>
        <w:t>историческом</w:t>
      </w:r>
      <w:proofErr w:type="gramEnd"/>
      <w:r w:rsidRPr="00FE015D">
        <w:rPr>
          <w:rFonts w:ascii="Times New Roman" w:hAnsi="Times New Roman" w:cs="Times New Roman"/>
          <w:spacing w:val="-4"/>
          <w:sz w:val="28"/>
          <w:szCs w:val="28"/>
        </w:rPr>
        <w:t>, дошкольного образования, специального образования, белорусской и русской филологии, эстетического образования)</w:t>
      </w:r>
      <w:r w:rsidRPr="00FE015D">
        <w:rPr>
          <w:rFonts w:ascii="Times New Roman" w:eastAsia="Calibri" w:hAnsi="Times New Roman" w:cs="Times New Roman"/>
          <w:sz w:val="28"/>
          <w:szCs w:val="28"/>
        </w:rPr>
        <w:t xml:space="preserve"> качество образовательной услуги оценивается как хорошее.</w:t>
      </w:r>
    </w:p>
    <w:p w:rsidR="00265025" w:rsidRPr="00FE015D" w:rsidRDefault="00265025" w:rsidP="002650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E015D">
        <w:rPr>
          <w:rFonts w:ascii="Times New Roman" w:eastAsia="Calibri" w:hAnsi="Times New Roman" w:cs="Times New Roman"/>
          <w:sz w:val="28"/>
          <w:szCs w:val="28"/>
        </w:rPr>
        <w:t>Так же</w:t>
      </w:r>
      <w:r w:rsidRPr="00FE015D">
        <w:rPr>
          <w:rFonts w:ascii="Times New Roman" w:hAnsi="Times New Roman" w:cs="Times New Roman"/>
          <w:spacing w:val="-4"/>
          <w:sz w:val="28"/>
          <w:szCs w:val="28"/>
        </w:rPr>
        <w:t xml:space="preserve"> на пяти факультетах (математическом, начального образования, психологии, социально-педагогических технологий, начального образования с методикой физического воспитания)</w:t>
      </w:r>
      <w:r w:rsidRPr="00FE015D">
        <w:rPr>
          <w:rFonts w:ascii="Times New Roman" w:eastAsia="Calibri" w:hAnsi="Times New Roman" w:cs="Times New Roman"/>
          <w:sz w:val="28"/>
          <w:szCs w:val="28"/>
        </w:rPr>
        <w:t xml:space="preserve"> качество образовательной услуги оценивается как отличное в соответствии с системой менеджмента качества.</w:t>
      </w:r>
      <w:proofErr w:type="gramEnd"/>
    </w:p>
    <w:p w:rsidR="00265025" w:rsidRPr="00FE015D" w:rsidRDefault="00265025" w:rsidP="0026502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265025" w:rsidRPr="00FE015D" w:rsidRDefault="00265025" w:rsidP="00265025">
      <w:r w:rsidRPr="00FE015D">
        <w:rPr>
          <w:noProof/>
          <w:lang w:eastAsia="ru-RU"/>
        </w:rPr>
        <w:lastRenderedPageBreak/>
        <w:drawing>
          <wp:inline distT="0" distB="0" distL="0" distR="0" wp14:anchorId="426DFE4D" wp14:editId="10C1A3BF">
            <wp:extent cx="6086475" cy="57054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65025" w:rsidRPr="00FE015D" w:rsidRDefault="00265025" w:rsidP="002650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Рис.4. Итоговая оценка удовлетворенности студентов предметом </w:t>
      </w:r>
      <w:r w:rsidRPr="00FE015D">
        <w:rPr>
          <w:rFonts w:ascii="Times New Roman" w:hAnsi="Times New Roman" w:cs="Times New Roman"/>
          <w:color w:val="000000" w:themeColor="text1"/>
          <w:sz w:val="28"/>
          <w:szCs w:val="28"/>
        </w:rPr>
        <w:t>«Физическая культура».</w:t>
      </w:r>
    </w:p>
    <w:p w:rsidR="00265025" w:rsidRPr="00FE015D" w:rsidRDefault="00265025" w:rsidP="00265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5025" w:rsidRPr="00FE015D" w:rsidRDefault="00265025" w:rsidP="0026502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E015D">
        <w:rPr>
          <w:rFonts w:ascii="Times New Roman" w:hAnsi="Times New Roman" w:cs="Times New Roman"/>
          <w:spacing w:val="-4"/>
          <w:sz w:val="28"/>
          <w:szCs w:val="28"/>
        </w:rPr>
        <w:t>Таким образом, на основе результатов проведенного исследования можно сделать следующие</w:t>
      </w:r>
      <w:r w:rsidRPr="00FE015D">
        <w:rPr>
          <w:rFonts w:ascii="Times New Roman" w:hAnsi="Times New Roman" w:cs="Times New Roman"/>
          <w:sz w:val="28"/>
          <w:szCs w:val="28"/>
        </w:rPr>
        <w:t xml:space="preserve"> выводы</w:t>
      </w:r>
      <w:r w:rsidRPr="00FE015D"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265025" w:rsidRPr="00FE015D" w:rsidRDefault="00265025" w:rsidP="002650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15D">
        <w:rPr>
          <w:rFonts w:ascii="Times New Roman" w:eastAsia="Calibri" w:hAnsi="Times New Roman" w:cs="Times New Roman"/>
          <w:sz w:val="28"/>
          <w:szCs w:val="28"/>
        </w:rPr>
        <w:t>1.По группе факторов «Довольны ли Вы</w:t>
      </w:r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профессионализмом преподавателя, читающего лекции и проводившего практические занятия», «Отношением преподавателя к студентам</w:t>
      </w:r>
      <w:r w:rsidRPr="00FE015D">
        <w:rPr>
          <w:rFonts w:ascii="Times New Roman" w:eastAsia="Calibri" w:hAnsi="Times New Roman" w:cs="Times New Roman"/>
          <w:sz w:val="28"/>
          <w:szCs w:val="28"/>
        </w:rPr>
        <w:t>» (80,5%)</w:t>
      </w:r>
      <w:r w:rsidRPr="00FE015D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Pr="00FE015D">
        <w:rPr>
          <w:rFonts w:ascii="Times New Roman" w:eastAsia="Calibri" w:hAnsi="Times New Roman" w:cs="Times New Roman"/>
          <w:sz w:val="28"/>
          <w:szCs w:val="28"/>
        </w:rPr>
        <w:t xml:space="preserve">качество образовательной услуги оценивается как отличное (требования выполняются в полном объеме, без замечаний) в соответствии с системой менеджмента качества вуза. </w:t>
      </w:r>
    </w:p>
    <w:p w:rsidR="00265025" w:rsidRPr="00FE015D" w:rsidRDefault="00265025" w:rsidP="002650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15D">
        <w:rPr>
          <w:rFonts w:ascii="Times New Roman" w:eastAsia="Calibri" w:hAnsi="Times New Roman" w:cs="Times New Roman"/>
          <w:sz w:val="28"/>
          <w:szCs w:val="28"/>
        </w:rPr>
        <w:t xml:space="preserve">2.По двум группам факторов: </w:t>
      </w:r>
      <w:proofErr w:type="gramStart"/>
      <w:r w:rsidRPr="00FE015D">
        <w:rPr>
          <w:rFonts w:ascii="Times New Roman" w:eastAsia="Calibri" w:hAnsi="Times New Roman" w:cs="Times New Roman"/>
          <w:sz w:val="28"/>
          <w:szCs w:val="28"/>
        </w:rPr>
        <w:t>«Вовлечены ли Вы</w:t>
      </w:r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активную работу на лекциях и во время проведения практических занятий</w:t>
      </w:r>
      <w:r w:rsidRPr="00FE015D">
        <w:rPr>
          <w:rFonts w:ascii="Times New Roman" w:eastAsia="Calibri" w:hAnsi="Times New Roman" w:cs="Times New Roman"/>
          <w:sz w:val="28"/>
          <w:szCs w:val="28"/>
        </w:rPr>
        <w:t>» (68,2%),  «Считаете ли Вы, что</w:t>
      </w:r>
      <w:r w:rsidRPr="00FE01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объем учебной дисциплины оптимальный</w:t>
      </w:r>
      <w:r w:rsidRPr="00FE015D">
        <w:rPr>
          <w:rFonts w:ascii="Times New Roman" w:eastAsia="Calibri" w:hAnsi="Times New Roman" w:cs="Times New Roman"/>
          <w:sz w:val="28"/>
          <w:szCs w:val="28"/>
        </w:rPr>
        <w:t>», «Что</w:t>
      </w:r>
      <w:r w:rsidRPr="00FE01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 получили навыки для самостоятельного пополнения з</w:t>
      </w:r>
      <w:r w:rsidRPr="00FE015D">
        <w:rPr>
          <w:rFonts w:ascii="Times New Roman" w:eastAsia="Calibri" w:hAnsi="Times New Roman" w:cs="Times New Roman"/>
          <w:sz w:val="28"/>
          <w:szCs w:val="28"/>
        </w:rPr>
        <w:t>наний и использования их на практике», «Что</w:t>
      </w:r>
      <w:r w:rsidRPr="00FE01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учебников и учебно-методических материалов достаточно»,</w:t>
      </w:r>
      <w:r w:rsidRPr="00FE01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15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«Ч</w:t>
      </w:r>
      <w:r w:rsidRPr="00FE015D">
        <w:rPr>
          <w:rFonts w:ascii="Times New Roman" w:eastAsia="Calibri" w:hAnsi="Times New Roman" w:cs="Times New Roman"/>
          <w:sz w:val="28"/>
          <w:szCs w:val="28"/>
        </w:rPr>
        <w:t>то</w:t>
      </w:r>
      <w:r w:rsidRPr="00FE01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данная дисциплина полезна для дальнейшей учебы и будущей профессиональной деятельности»</w:t>
      </w:r>
      <w:r w:rsidRPr="00FE015D">
        <w:rPr>
          <w:rFonts w:ascii="Times New Roman" w:eastAsia="Calibri" w:hAnsi="Times New Roman" w:cs="Times New Roman"/>
          <w:sz w:val="28"/>
          <w:szCs w:val="28"/>
        </w:rPr>
        <w:t xml:space="preserve"> (68,4%)</w:t>
      </w:r>
      <w:r w:rsidRPr="00FE015D"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r w:rsidRPr="00FE015D">
        <w:rPr>
          <w:rFonts w:ascii="Times New Roman" w:eastAsia="Calibri" w:hAnsi="Times New Roman" w:cs="Times New Roman"/>
          <w:sz w:val="28"/>
          <w:szCs w:val="28"/>
        </w:rPr>
        <w:t>качество образовательной услуги оценивается как хорошее</w:t>
      </w:r>
      <w:proofErr w:type="gramEnd"/>
      <w:r w:rsidRPr="00FE015D">
        <w:rPr>
          <w:rFonts w:ascii="Times New Roman" w:eastAsia="Calibri" w:hAnsi="Times New Roman" w:cs="Times New Roman"/>
          <w:sz w:val="28"/>
          <w:szCs w:val="28"/>
        </w:rPr>
        <w:t xml:space="preserve"> (требования выполняются, но имеются несущественные замечания).</w:t>
      </w:r>
    </w:p>
    <w:p w:rsidR="00265025" w:rsidRPr="00FE015D" w:rsidRDefault="00265025" w:rsidP="002650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15D">
        <w:rPr>
          <w:rFonts w:ascii="Times New Roman" w:eastAsia="Calibri" w:hAnsi="Times New Roman" w:cs="Times New Roman"/>
          <w:sz w:val="28"/>
          <w:szCs w:val="28"/>
        </w:rPr>
        <w:t>3.По одному из критериев «Вовлечены ли Вы в активную работу на лекциях» (59,1%)</w:t>
      </w:r>
      <w:r w:rsidRPr="00FE015D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Pr="00FE015D">
        <w:rPr>
          <w:rFonts w:ascii="Times New Roman" w:eastAsia="Calibri" w:hAnsi="Times New Roman" w:cs="Times New Roman"/>
          <w:sz w:val="28"/>
          <w:szCs w:val="28"/>
        </w:rPr>
        <w:t>качество преподавания оценивается как допустимое (требования выполняются с существенными замечаниями).</w:t>
      </w:r>
    </w:p>
    <w:p w:rsidR="00265025" w:rsidRPr="00FE015D" w:rsidRDefault="00265025" w:rsidP="002650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15D">
        <w:rPr>
          <w:rFonts w:ascii="Times New Roman" w:eastAsia="Calibri" w:hAnsi="Times New Roman" w:cs="Times New Roman"/>
          <w:sz w:val="28"/>
          <w:szCs w:val="28"/>
        </w:rPr>
        <w:t>4. В целом степень достижения запланированной удовлетворенности студентов 3 курса составляет 72,4%, что позволяет характеризовать качество образовательных услуг как хорошее (требования выполняются, но имеются несущественные замечания) в соответствии с положением системы менеджмента качества университета.</w:t>
      </w:r>
    </w:p>
    <w:p w:rsidR="00265025" w:rsidRPr="00FE015D" w:rsidRDefault="00265025" w:rsidP="0026502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FE015D">
        <w:rPr>
          <w:rFonts w:ascii="Times New Roman" w:eastAsia="Calibri" w:hAnsi="Times New Roman" w:cs="Times New Roman"/>
          <w:b/>
          <w:i/>
          <w:sz w:val="28"/>
          <w:szCs w:val="28"/>
        </w:rPr>
        <w:t>Литература</w:t>
      </w:r>
      <w:r w:rsidRPr="00FE015D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265025" w:rsidRPr="00FE015D" w:rsidRDefault="00265025" w:rsidP="00265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15D">
        <w:rPr>
          <w:rFonts w:ascii="Times New Roman" w:hAnsi="Times New Roman" w:cs="Times New Roman"/>
          <w:sz w:val="28"/>
          <w:szCs w:val="28"/>
        </w:rPr>
        <w:t xml:space="preserve">         1.Городилин, С.К. Физическое воспитание студентов.  Тексты лекций. Учебное издание /С.К. </w:t>
      </w:r>
      <w:proofErr w:type="spellStart"/>
      <w:r w:rsidRPr="00FE015D">
        <w:rPr>
          <w:rFonts w:ascii="Times New Roman" w:hAnsi="Times New Roman" w:cs="Times New Roman"/>
          <w:sz w:val="28"/>
          <w:szCs w:val="28"/>
        </w:rPr>
        <w:t>Городилин</w:t>
      </w:r>
      <w:proofErr w:type="spellEnd"/>
      <w:r w:rsidRPr="00FE015D">
        <w:rPr>
          <w:rFonts w:ascii="Times New Roman" w:hAnsi="Times New Roman" w:cs="Times New Roman"/>
          <w:sz w:val="28"/>
          <w:szCs w:val="28"/>
        </w:rPr>
        <w:t xml:space="preserve">, В.В.  </w:t>
      </w:r>
      <w:proofErr w:type="spellStart"/>
      <w:r w:rsidRPr="00FE015D">
        <w:rPr>
          <w:rFonts w:ascii="Times New Roman" w:hAnsi="Times New Roman" w:cs="Times New Roman"/>
          <w:sz w:val="28"/>
          <w:szCs w:val="28"/>
        </w:rPr>
        <w:t>Руденик</w:t>
      </w:r>
      <w:proofErr w:type="spellEnd"/>
      <w:r w:rsidRPr="00FE015D">
        <w:rPr>
          <w:rFonts w:ascii="Times New Roman" w:hAnsi="Times New Roman" w:cs="Times New Roman"/>
          <w:sz w:val="28"/>
          <w:szCs w:val="28"/>
        </w:rPr>
        <w:t xml:space="preserve">. - Гродно: </w:t>
      </w:r>
      <w:proofErr w:type="spellStart"/>
      <w:r w:rsidRPr="00FE015D">
        <w:rPr>
          <w:rFonts w:ascii="Times New Roman" w:hAnsi="Times New Roman" w:cs="Times New Roman"/>
          <w:sz w:val="28"/>
          <w:szCs w:val="28"/>
        </w:rPr>
        <w:t>ГрГУ</w:t>
      </w:r>
      <w:proofErr w:type="spellEnd"/>
      <w:r w:rsidRPr="00FE015D">
        <w:rPr>
          <w:rFonts w:ascii="Times New Roman" w:hAnsi="Times New Roman" w:cs="Times New Roman"/>
          <w:sz w:val="28"/>
          <w:szCs w:val="28"/>
        </w:rPr>
        <w:t>, 2002. -  82 с.</w:t>
      </w:r>
    </w:p>
    <w:p w:rsidR="00265025" w:rsidRPr="00FE015D" w:rsidRDefault="00265025" w:rsidP="0026502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015D">
        <w:rPr>
          <w:rFonts w:ascii="Times New Roman" w:hAnsi="Times New Roman" w:cs="Times New Roman"/>
          <w:sz w:val="28"/>
          <w:szCs w:val="28"/>
        </w:rPr>
        <w:t xml:space="preserve">         2.</w:t>
      </w:r>
      <w:r w:rsidRPr="00FE01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Желобкович, М.П., </w:t>
      </w:r>
      <w:proofErr w:type="spellStart"/>
      <w:r w:rsidRPr="00FE01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Купчинов</w:t>
      </w:r>
      <w:proofErr w:type="spellEnd"/>
      <w:r w:rsidRPr="00FE01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Р.И. Оздоровительно-развивающий подход к физическому воспитанию студенческой молодежи / М.П. </w:t>
      </w:r>
      <w:proofErr w:type="spellStart"/>
      <w:r w:rsidRPr="00FE01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Желобкович</w:t>
      </w:r>
      <w:proofErr w:type="spellEnd"/>
      <w:r w:rsidRPr="00FE01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Р.И. </w:t>
      </w:r>
      <w:proofErr w:type="spellStart"/>
      <w:r w:rsidRPr="00FE01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Купчинов</w:t>
      </w:r>
      <w:proofErr w:type="spellEnd"/>
      <w:r w:rsidRPr="00FE01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- Минск, 2004. -208 с.</w:t>
      </w:r>
    </w:p>
    <w:p w:rsidR="00265025" w:rsidRPr="00FE015D" w:rsidRDefault="00265025" w:rsidP="0026502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3.Ильинич, В.И. Физическая культура студентов и жизнь: Учебник /В.И. </w:t>
      </w:r>
      <w:proofErr w:type="spellStart"/>
      <w:r w:rsidRPr="00FE01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Ильинич</w:t>
      </w:r>
      <w:proofErr w:type="spellEnd"/>
      <w:r w:rsidRPr="00FE01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- М.: </w:t>
      </w:r>
      <w:proofErr w:type="spellStart"/>
      <w:r w:rsidRPr="00FE01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Гардарики</w:t>
      </w:r>
      <w:proofErr w:type="spellEnd"/>
      <w:r w:rsidRPr="00FE01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2005. - 366 с.: ил.</w:t>
      </w:r>
    </w:p>
    <w:p w:rsidR="00265025" w:rsidRPr="00FE015D" w:rsidRDefault="00265025" w:rsidP="00265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15D">
        <w:rPr>
          <w:rFonts w:ascii="Times New Roman" w:hAnsi="Times New Roman" w:cs="Times New Roman"/>
          <w:sz w:val="28"/>
          <w:szCs w:val="28"/>
        </w:rPr>
        <w:t xml:space="preserve">         4. Коробков, А.В. Физическое воспитание / А.В. Коробков, В.А. Головин, В.А. Масляков.- М.: Высшая школа, 2000.-144 с.</w:t>
      </w:r>
    </w:p>
    <w:p w:rsidR="00265025" w:rsidRPr="00FE015D" w:rsidRDefault="00265025" w:rsidP="0026502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015D">
        <w:rPr>
          <w:rFonts w:ascii="Times New Roman" w:hAnsi="Times New Roman" w:cs="Times New Roman"/>
          <w:sz w:val="28"/>
          <w:szCs w:val="28"/>
        </w:rPr>
        <w:t xml:space="preserve">        5.</w:t>
      </w:r>
      <w:r w:rsidRPr="00FE01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Физическое воспитание в вузе: Тексты лекций</w:t>
      </w:r>
      <w:proofErr w:type="gramStart"/>
      <w:r w:rsidRPr="00FE01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П</w:t>
      </w:r>
      <w:proofErr w:type="gramEnd"/>
      <w:r w:rsidRPr="00FE01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 ред. М.М. Чубарова. 3-е изд., - М.: МГИУ, 2005. - 214 с.</w:t>
      </w:r>
    </w:p>
    <w:p w:rsidR="00265025" w:rsidRPr="00FE015D" w:rsidRDefault="00265025" w:rsidP="00265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15D">
        <w:rPr>
          <w:sz w:val="28"/>
          <w:szCs w:val="28"/>
        </w:rPr>
        <w:t xml:space="preserve">        6</w:t>
      </w:r>
      <w:r w:rsidRPr="00FE015D">
        <w:rPr>
          <w:rFonts w:ascii="Times New Roman" w:hAnsi="Times New Roman" w:cs="Times New Roman"/>
          <w:sz w:val="28"/>
          <w:szCs w:val="28"/>
        </w:rPr>
        <w:t>.Физическое воспитание студентов основного отделения: Учебник для студентов вузов / Под общ</w:t>
      </w:r>
      <w:proofErr w:type="gramStart"/>
      <w:r w:rsidRPr="00FE01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E01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01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E015D">
        <w:rPr>
          <w:rFonts w:ascii="Times New Roman" w:hAnsi="Times New Roman" w:cs="Times New Roman"/>
          <w:sz w:val="28"/>
          <w:szCs w:val="28"/>
        </w:rPr>
        <w:t>ед. проф. Н.Я. Петрова, проф. А.В. Медведя. - Минск: БГУИР, 1997, - 711 с.</w:t>
      </w:r>
    </w:p>
    <w:p w:rsidR="00265025" w:rsidRPr="00FE015D" w:rsidRDefault="00265025" w:rsidP="0026502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7. Холодов, Ж.К. Теория и методика физического воспитания и спорта: Учебное пособие для студентов высших учебных заведений /Ж.К. Холодов, В.С. Кузнецов. - 3-е изд., - М.: Издательский центр «Академия», 2004. - 480 с. </w:t>
      </w:r>
    </w:p>
    <w:p w:rsidR="00EF05B5" w:rsidRDefault="00EF05B5"/>
    <w:sectPr w:rsidR="00EF0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08E"/>
    <w:rsid w:val="00006E0E"/>
    <w:rsid w:val="00020C9D"/>
    <w:rsid w:val="000235CD"/>
    <w:rsid w:val="00032560"/>
    <w:rsid w:val="00052B9E"/>
    <w:rsid w:val="0006623A"/>
    <w:rsid w:val="00071D2C"/>
    <w:rsid w:val="000734CD"/>
    <w:rsid w:val="00080691"/>
    <w:rsid w:val="00081ABB"/>
    <w:rsid w:val="00086048"/>
    <w:rsid w:val="000904B8"/>
    <w:rsid w:val="00097570"/>
    <w:rsid w:val="000A33B2"/>
    <w:rsid w:val="000A402A"/>
    <w:rsid w:val="000A4DF0"/>
    <w:rsid w:val="000A7938"/>
    <w:rsid w:val="000B6CC5"/>
    <w:rsid w:val="000C2C83"/>
    <w:rsid w:val="000C637D"/>
    <w:rsid w:val="000D412F"/>
    <w:rsid w:val="000D7695"/>
    <w:rsid w:val="000E126D"/>
    <w:rsid w:val="001060BC"/>
    <w:rsid w:val="00110BE9"/>
    <w:rsid w:val="0011586F"/>
    <w:rsid w:val="00121F8F"/>
    <w:rsid w:val="00123021"/>
    <w:rsid w:val="0012380E"/>
    <w:rsid w:val="00125D92"/>
    <w:rsid w:val="00126BA1"/>
    <w:rsid w:val="00130CFC"/>
    <w:rsid w:val="00132879"/>
    <w:rsid w:val="00132EF9"/>
    <w:rsid w:val="0013515B"/>
    <w:rsid w:val="00135ABB"/>
    <w:rsid w:val="00136AE6"/>
    <w:rsid w:val="00143206"/>
    <w:rsid w:val="0014464C"/>
    <w:rsid w:val="00144CED"/>
    <w:rsid w:val="001454B9"/>
    <w:rsid w:val="0016581D"/>
    <w:rsid w:val="001735B8"/>
    <w:rsid w:val="00186B75"/>
    <w:rsid w:val="00191881"/>
    <w:rsid w:val="0019508E"/>
    <w:rsid w:val="001953AE"/>
    <w:rsid w:val="00197058"/>
    <w:rsid w:val="00197A45"/>
    <w:rsid w:val="001B41E6"/>
    <w:rsid w:val="001B456C"/>
    <w:rsid w:val="001B49FF"/>
    <w:rsid w:val="001C4E85"/>
    <w:rsid w:val="001C602E"/>
    <w:rsid w:val="001D71CA"/>
    <w:rsid w:val="001E55BF"/>
    <w:rsid w:val="001E6AF8"/>
    <w:rsid w:val="001E6CF2"/>
    <w:rsid w:val="001F3A08"/>
    <w:rsid w:val="001F4AE8"/>
    <w:rsid w:val="00207251"/>
    <w:rsid w:val="00211820"/>
    <w:rsid w:val="00217128"/>
    <w:rsid w:val="00222B80"/>
    <w:rsid w:val="00230BD4"/>
    <w:rsid w:val="0023182C"/>
    <w:rsid w:val="00236E86"/>
    <w:rsid w:val="0025140E"/>
    <w:rsid w:val="00253859"/>
    <w:rsid w:val="00253EA7"/>
    <w:rsid w:val="00253EAE"/>
    <w:rsid w:val="00255A85"/>
    <w:rsid w:val="00265025"/>
    <w:rsid w:val="00267AD8"/>
    <w:rsid w:val="002737DB"/>
    <w:rsid w:val="00274A7A"/>
    <w:rsid w:val="00277A78"/>
    <w:rsid w:val="00283B69"/>
    <w:rsid w:val="002A40B6"/>
    <w:rsid w:val="002B00C8"/>
    <w:rsid w:val="002B0C26"/>
    <w:rsid w:val="002B181E"/>
    <w:rsid w:val="002B1F59"/>
    <w:rsid w:val="002B5060"/>
    <w:rsid w:val="002E580B"/>
    <w:rsid w:val="002F19F0"/>
    <w:rsid w:val="0031176B"/>
    <w:rsid w:val="00311D38"/>
    <w:rsid w:val="003151EF"/>
    <w:rsid w:val="00325836"/>
    <w:rsid w:val="00327B43"/>
    <w:rsid w:val="003312D3"/>
    <w:rsid w:val="0033581F"/>
    <w:rsid w:val="003408FA"/>
    <w:rsid w:val="003422FA"/>
    <w:rsid w:val="00350305"/>
    <w:rsid w:val="0035589B"/>
    <w:rsid w:val="00364CBF"/>
    <w:rsid w:val="00370B89"/>
    <w:rsid w:val="003853D0"/>
    <w:rsid w:val="003857FC"/>
    <w:rsid w:val="003873F0"/>
    <w:rsid w:val="00390015"/>
    <w:rsid w:val="0039149B"/>
    <w:rsid w:val="003D1248"/>
    <w:rsid w:val="003D763F"/>
    <w:rsid w:val="003E2E4C"/>
    <w:rsid w:val="003E4A1D"/>
    <w:rsid w:val="003E5F6A"/>
    <w:rsid w:val="003E6E44"/>
    <w:rsid w:val="003F1A1E"/>
    <w:rsid w:val="003F552D"/>
    <w:rsid w:val="00401411"/>
    <w:rsid w:val="00421F0D"/>
    <w:rsid w:val="00434281"/>
    <w:rsid w:val="0043490E"/>
    <w:rsid w:val="004435B3"/>
    <w:rsid w:val="0044742C"/>
    <w:rsid w:val="00453275"/>
    <w:rsid w:val="00457277"/>
    <w:rsid w:val="00466E79"/>
    <w:rsid w:val="00467610"/>
    <w:rsid w:val="0047030A"/>
    <w:rsid w:val="00472CCF"/>
    <w:rsid w:val="00482EAE"/>
    <w:rsid w:val="0048378F"/>
    <w:rsid w:val="00484714"/>
    <w:rsid w:val="004853B5"/>
    <w:rsid w:val="00487A0D"/>
    <w:rsid w:val="004A2E39"/>
    <w:rsid w:val="004A682A"/>
    <w:rsid w:val="004B1935"/>
    <w:rsid w:val="004C2F03"/>
    <w:rsid w:val="004D1BF4"/>
    <w:rsid w:val="004E2827"/>
    <w:rsid w:val="004E4E8E"/>
    <w:rsid w:val="004F7A01"/>
    <w:rsid w:val="00502E83"/>
    <w:rsid w:val="00504864"/>
    <w:rsid w:val="0050548C"/>
    <w:rsid w:val="00505C89"/>
    <w:rsid w:val="00522261"/>
    <w:rsid w:val="00525981"/>
    <w:rsid w:val="00534061"/>
    <w:rsid w:val="0053516C"/>
    <w:rsid w:val="00546CF0"/>
    <w:rsid w:val="005479C1"/>
    <w:rsid w:val="00550199"/>
    <w:rsid w:val="00556C7D"/>
    <w:rsid w:val="0056415A"/>
    <w:rsid w:val="00564718"/>
    <w:rsid w:val="005771C6"/>
    <w:rsid w:val="00580168"/>
    <w:rsid w:val="005860D3"/>
    <w:rsid w:val="00590C1E"/>
    <w:rsid w:val="00591D3F"/>
    <w:rsid w:val="005A12F7"/>
    <w:rsid w:val="005A3012"/>
    <w:rsid w:val="005A5FD4"/>
    <w:rsid w:val="005B49DC"/>
    <w:rsid w:val="005B678A"/>
    <w:rsid w:val="005C4C57"/>
    <w:rsid w:val="005D1FCB"/>
    <w:rsid w:val="005D3036"/>
    <w:rsid w:val="005D551E"/>
    <w:rsid w:val="005D6E79"/>
    <w:rsid w:val="005D76CF"/>
    <w:rsid w:val="005E1F76"/>
    <w:rsid w:val="005E7AC0"/>
    <w:rsid w:val="005E7C13"/>
    <w:rsid w:val="005F0C61"/>
    <w:rsid w:val="005F6852"/>
    <w:rsid w:val="00600CC8"/>
    <w:rsid w:val="00603F74"/>
    <w:rsid w:val="006175E2"/>
    <w:rsid w:val="006349BF"/>
    <w:rsid w:val="00634E6B"/>
    <w:rsid w:val="0063570E"/>
    <w:rsid w:val="006373F4"/>
    <w:rsid w:val="00640CB7"/>
    <w:rsid w:val="0064733F"/>
    <w:rsid w:val="00653CFF"/>
    <w:rsid w:val="006568FE"/>
    <w:rsid w:val="00656E5E"/>
    <w:rsid w:val="006703CB"/>
    <w:rsid w:val="0067625F"/>
    <w:rsid w:val="0067656F"/>
    <w:rsid w:val="006769FD"/>
    <w:rsid w:val="006813E3"/>
    <w:rsid w:val="00682D2C"/>
    <w:rsid w:val="0068585E"/>
    <w:rsid w:val="006909D8"/>
    <w:rsid w:val="00692418"/>
    <w:rsid w:val="00695227"/>
    <w:rsid w:val="006A2B1A"/>
    <w:rsid w:val="006A5599"/>
    <w:rsid w:val="006B7CD6"/>
    <w:rsid w:val="006C23D1"/>
    <w:rsid w:val="006C5814"/>
    <w:rsid w:val="006C7B6B"/>
    <w:rsid w:val="006D0401"/>
    <w:rsid w:val="006D258D"/>
    <w:rsid w:val="006D2C3B"/>
    <w:rsid w:val="006D4355"/>
    <w:rsid w:val="006D6AC7"/>
    <w:rsid w:val="006E1E2E"/>
    <w:rsid w:val="006F016E"/>
    <w:rsid w:val="006F3A29"/>
    <w:rsid w:val="00715D82"/>
    <w:rsid w:val="007164A2"/>
    <w:rsid w:val="00716A67"/>
    <w:rsid w:val="00723342"/>
    <w:rsid w:val="00724A75"/>
    <w:rsid w:val="0073005E"/>
    <w:rsid w:val="007379B9"/>
    <w:rsid w:val="007411AB"/>
    <w:rsid w:val="00742BC2"/>
    <w:rsid w:val="00757D94"/>
    <w:rsid w:val="00761582"/>
    <w:rsid w:val="007664AA"/>
    <w:rsid w:val="00772D7F"/>
    <w:rsid w:val="00794DE4"/>
    <w:rsid w:val="0079755A"/>
    <w:rsid w:val="007A0B5F"/>
    <w:rsid w:val="007A565D"/>
    <w:rsid w:val="007A6A7C"/>
    <w:rsid w:val="007B3DD3"/>
    <w:rsid w:val="007C507D"/>
    <w:rsid w:val="007D3180"/>
    <w:rsid w:val="007D635B"/>
    <w:rsid w:val="007E2BA7"/>
    <w:rsid w:val="007E2CFA"/>
    <w:rsid w:val="007F59DA"/>
    <w:rsid w:val="00806580"/>
    <w:rsid w:val="008067AD"/>
    <w:rsid w:val="008130CE"/>
    <w:rsid w:val="00825FAF"/>
    <w:rsid w:val="008320A2"/>
    <w:rsid w:val="00851EAE"/>
    <w:rsid w:val="00860680"/>
    <w:rsid w:val="00860A5C"/>
    <w:rsid w:val="00865B43"/>
    <w:rsid w:val="00865ED1"/>
    <w:rsid w:val="008737EA"/>
    <w:rsid w:val="008901F8"/>
    <w:rsid w:val="008931F8"/>
    <w:rsid w:val="00897279"/>
    <w:rsid w:val="008B284B"/>
    <w:rsid w:val="008B6CE6"/>
    <w:rsid w:val="008C2AE2"/>
    <w:rsid w:val="008C6A0C"/>
    <w:rsid w:val="008E0C05"/>
    <w:rsid w:val="008E519D"/>
    <w:rsid w:val="008E69B7"/>
    <w:rsid w:val="008F7C6B"/>
    <w:rsid w:val="00910DF4"/>
    <w:rsid w:val="00921FDA"/>
    <w:rsid w:val="00922B2C"/>
    <w:rsid w:val="00923A1F"/>
    <w:rsid w:val="0092582F"/>
    <w:rsid w:val="009305B1"/>
    <w:rsid w:val="00930F8B"/>
    <w:rsid w:val="00942A9D"/>
    <w:rsid w:val="00944468"/>
    <w:rsid w:val="00950C65"/>
    <w:rsid w:val="00951F7D"/>
    <w:rsid w:val="0095710F"/>
    <w:rsid w:val="009744CF"/>
    <w:rsid w:val="00980583"/>
    <w:rsid w:val="009877A0"/>
    <w:rsid w:val="009A57EA"/>
    <w:rsid w:val="009B6F18"/>
    <w:rsid w:val="009C22EF"/>
    <w:rsid w:val="009C3CC0"/>
    <w:rsid w:val="009C3D86"/>
    <w:rsid w:val="009C3F42"/>
    <w:rsid w:val="009D019E"/>
    <w:rsid w:val="009D76BE"/>
    <w:rsid w:val="009E3A76"/>
    <w:rsid w:val="009F0133"/>
    <w:rsid w:val="009F50FA"/>
    <w:rsid w:val="00A03F9D"/>
    <w:rsid w:val="00A1506F"/>
    <w:rsid w:val="00A16C50"/>
    <w:rsid w:val="00A26845"/>
    <w:rsid w:val="00A36810"/>
    <w:rsid w:val="00A41D0B"/>
    <w:rsid w:val="00A44B17"/>
    <w:rsid w:val="00A47C70"/>
    <w:rsid w:val="00A54D81"/>
    <w:rsid w:val="00A716F4"/>
    <w:rsid w:val="00A74383"/>
    <w:rsid w:val="00A75B97"/>
    <w:rsid w:val="00A8371F"/>
    <w:rsid w:val="00A8656A"/>
    <w:rsid w:val="00AA0C75"/>
    <w:rsid w:val="00AA411E"/>
    <w:rsid w:val="00AB4D27"/>
    <w:rsid w:val="00AC0ACD"/>
    <w:rsid w:val="00AC1CA8"/>
    <w:rsid w:val="00AC4392"/>
    <w:rsid w:val="00AC69AE"/>
    <w:rsid w:val="00AC7A60"/>
    <w:rsid w:val="00AD1871"/>
    <w:rsid w:val="00AD5FE9"/>
    <w:rsid w:val="00AD6C9C"/>
    <w:rsid w:val="00AF1C92"/>
    <w:rsid w:val="00AF4D8B"/>
    <w:rsid w:val="00AF539E"/>
    <w:rsid w:val="00B021AA"/>
    <w:rsid w:val="00B11623"/>
    <w:rsid w:val="00B23629"/>
    <w:rsid w:val="00B260D6"/>
    <w:rsid w:val="00B31D56"/>
    <w:rsid w:val="00B35DC4"/>
    <w:rsid w:val="00B43767"/>
    <w:rsid w:val="00B555F1"/>
    <w:rsid w:val="00B576F9"/>
    <w:rsid w:val="00B57E65"/>
    <w:rsid w:val="00B6639A"/>
    <w:rsid w:val="00B67132"/>
    <w:rsid w:val="00B74297"/>
    <w:rsid w:val="00B7484A"/>
    <w:rsid w:val="00B765C4"/>
    <w:rsid w:val="00B77D50"/>
    <w:rsid w:val="00B82516"/>
    <w:rsid w:val="00B834BB"/>
    <w:rsid w:val="00B85FB6"/>
    <w:rsid w:val="00B90218"/>
    <w:rsid w:val="00B94E32"/>
    <w:rsid w:val="00BA47FD"/>
    <w:rsid w:val="00BB247C"/>
    <w:rsid w:val="00BC28E0"/>
    <w:rsid w:val="00BC5BF5"/>
    <w:rsid w:val="00BC6BC8"/>
    <w:rsid w:val="00BE2DA7"/>
    <w:rsid w:val="00BF1214"/>
    <w:rsid w:val="00C02DA4"/>
    <w:rsid w:val="00C0523A"/>
    <w:rsid w:val="00C21831"/>
    <w:rsid w:val="00C267B0"/>
    <w:rsid w:val="00C33BA8"/>
    <w:rsid w:val="00C33F9B"/>
    <w:rsid w:val="00C40E4A"/>
    <w:rsid w:val="00C44F19"/>
    <w:rsid w:val="00C47B29"/>
    <w:rsid w:val="00C5199C"/>
    <w:rsid w:val="00C6012E"/>
    <w:rsid w:val="00C602A4"/>
    <w:rsid w:val="00C603CD"/>
    <w:rsid w:val="00C62BFD"/>
    <w:rsid w:val="00C62C05"/>
    <w:rsid w:val="00C70EC9"/>
    <w:rsid w:val="00C80A84"/>
    <w:rsid w:val="00C830E8"/>
    <w:rsid w:val="00C84D3D"/>
    <w:rsid w:val="00C9724C"/>
    <w:rsid w:val="00CA09F4"/>
    <w:rsid w:val="00CB0E33"/>
    <w:rsid w:val="00CB432F"/>
    <w:rsid w:val="00CC0E59"/>
    <w:rsid w:val="00CC2FED"/>
    <w:rsid w:val="00CC4300"/>
    <w:rsid w:val="00CC52C1"/>
    <w:rsid w:val="00CD0507"/>
    <w:rsid w:val="00CD5F49"/>
    <w:rsid w:val="00CD6159"/>
    <w:rsid w:val="00CE0469"/>
    <w:rsid w:val="00CE7B16"/>
    <w:rsid w:val="00CF6579"/>
    <w:rsid w:val="00CF66DC"/>
    <w:rsid w:val="00D13E91"/>
    <w:rsid w:val="00D14BC8"/>
    <w:rsid w:val="00D14FE5"/>
    <w:rsid w:val="00D1542D"/>
    <w:rsid w:val="00D20CD5"/>
    <w:rsid w:val="00D22383"/>
    <w:rsid w:val="00D2499F"/>
    <w:rsid w:val="00D316F0"/>
    <w:rsid w:val="00D42742"/>
    <w:rsid w:val="00D42ED7"/>
    <w:rsid w:val="00D50D02"/>
    <w:rsid w:val="00D51869"/>
    <w:rsid w:val="00D56DF0"/>
    <w:rsid w:val="00D57E90"/>
    <w:rsid w:val="00D65205"/>
    <w:rsid w:val="00D6774D"/>
    <w:rsid w:val="00D775FD"/>
    <w:rsid w:val="00D81447"/>
    <w:rsid w:val="00D92FBA"/>
    <w:rsid w:val="00D934FA"/>
    <w:rsid w:val="00D96C79"/>
    <w:rsid w:val="00D97954"/>
    <w:rsid w:val="00D97FFD"/>
    <w:rsid w:val="00DC4602"/>
    <w:rsid w:val="00DD5E12"/>
    <w:rsid w:val="00DE19FD"/>
    <w:rsid w:val="00DE6D09"/>
    <w:rsid w:val="00DF2D07"/>
    <w:rsid w:val="00E02053"/>
    <w:rsid w:val="00E0337C"/>
    <w:rsid w:val="00E0742F"/>
    <w:rsid w:val="00E076EF"/>
    <w:rsid w:val="00E14B80"/>
    <w:rsid w:val="00E14DDE"/>
    <w:rsid w:val="00E23C83"/>
    <w:rsid w:val="00E32EA3"/>
    <w:rsid w:val="00E35C20"/>
    <w:rsid w:val="00E438E5"/>
    <w:rsid w:val="00E47C03"/>
    <w:rsid w:val="00E61953"/>
    <w:rsid w:val="00E6690E"/>
    <w:rsid w:val="00E7211B"/>
    <w:rsid w:val="00E74946"/>
    <w:rsid w:val="00E80A4E"/>
    <w:rsid w:val="00E81354"/>
    <w:rsid w:val="00EA0D62"/>
    <w:rsid w:val="00EA306C"/>
    <w:rsid w:val="00EA5281"/>
    <w:rsid w:val="00EA6D5F"/>
    <w:rsid w:val="00EA7606"/>
    <w:rsid w:val="00EA7B05"/>
    <w:rsid w:val="00EA7ED8"/>
    <w:rsid w:val="00EB6FD0"/>
    <w:rsid w:val="00EC4C3F"/>
    <w:rsid w:val="00EC537B"/>
    <w:rsid w:val="00ED1261"/>
    <w:rsid w:val="00ED1392"/>
    <w:rsid w:val="00ED5051"/>
    <w:rsid w:val="00ED51B9"/>
    <w:rsid w:val="00ED525C"/>
    <w:rsid w:val="00ED7B51"/>
    <w:rsid w:val="00EE393A"/>
    <w:rsid w:val="00EE7AF6"/>
    <w:rsid w:val="00EF05B5"/>
    <w:rsid w:val="00EF1B7C"/>
    <w:rsid w:val="00EF308B"/>
    <w:rsid w:val="00F01CB2"/>
    <w:rsid w:val="00F0465D"/>
    <w:rsid w:val="00F04844"/>
    <w:rsid w:val="00F334C6"/>
    <w:rsid w:val="00F33932"/>
    <w:rsid w:val="00F3628E"/>
    <w:rsid w:val="00F36E6F"/>
    <w:rsid w:val="00F4060D"/>
    <w:rsid w:val="00F40B3F"/>
    <w:rsid w:val="00F44FBF"/>
    <w:rsid w:val="00F50DDA"/>
    <w:rsid w:val="00F5604E"/>
    <w:rsid w:val="00F703E1"/>
    <w:rsid w:val="00F73CF7"/>
    <w:rsid w:val="00F75D4A"/>
    <w:rsid w:val="00F773BE"/>
    <w:rsid w:val="00F802AC"/>
    <w:rsid w:val="00F81D26"/>
    <w:rsid w:val="00F83090"/>
    <w:rsid w:val="00F838DE"/>
    <w:rsid w:val="00F850AF"/>
    <w:rsid w:val="00F90654"/>
    <w:rsid w:val="00F906CA"/>
    <w:rsid w:val="00F9519D"/>
    <w:rsid w:val="00FA2ED4"/>
    <w:rsid w:val="00FB163C"/>
    <w:rsid w:val="00FB388D"/>
    <w:rsid w:val="00FB551A"/>
    <w:rsid w:val="00FB612C"/>
    <w:rsid w:val="00FD0E2D"/>
    <w:rsid w:val="00FD3C30"/>
    <w:rsid w:val="00FD5481"/>
    <w:rsid w:val="00FD7FBB"/>
    <w:rsid w:val="00FE0FEE"/>
    <w:rsid w:val="00FE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0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0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216921414234986"/>
          <c:y val="0.12355985393130206"/>
          <c:w val="0.67161456964143396"/>
          <c:h val="0.8207992353556961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pattFill prst="dkVert">
                <a:fgClr>
                  <a:sysClr val="windowText" lastClr="000000"/>
                </a:fgClr>
                <a:bgClr>
                  <a:sysClr val="window" lastClr="FFFFFF"/>
                </a:bgClr>
              </a:pattFill>
            </c:spPr>
          </c:dPt>
          <c:dPt>
            <c:idx val="1"/>
            <c:invertIfNegative val="0"/>
            <c:bubble3D val="0"/>
            <c:spPr>
              <a:pattFill prst="narHorz">
                <a:fgClr>
                  <a:sysClr val="windowText" lastClr="000000"/>
                </a:fgClr>
                <a:bgClr>
                  <a:sysClr val="window" lastClr="FFFFFF"/>
                </a:bgClr>
              </a:pattFill>
            </c:spPr>
          </c:dPt>
          <c:dPt>
            <c:idx val="2"/>
            <c:invertIfNegative val="0"/>
            <c:bubble3D val="0"/>
            <c:spPr>
              <a:pattFill prst="dkHorz">
                <a:fgClr>
                  <a:sysClr val="windowText" lastClr="000000"/>
                </a:fgClr>
                <a:bgClr>
                  <a:sysClr val="window" lastClr="FFFFFF"/>
                </a:bgClr>
              </a:pattFill>
            </c:spPr>
          </c:dPt>
          <c:dLbls>
            <c:dLbl>
              <c:idx val="0"/>
              <c:layout>
                <c:manualLayout>
                  <c:x val="0"/>
                  <c:y val="-0.42150148351021338"/>
                </c:manualLayout>
              </c:layout>
              <c:tx>
                <c:rich>
                  <a:bodyPr/>
                  <a:lstStyle/>
                  <a:p>
                    <a:r>
                      <a:rPr lang="en-US" sz="1400">
                        <a:latin typeface="Times New Roman" pitchFamily="18" charset="0"/>
                        <a:cs typeface="Times New Roman" pitchFamily="18" charset="0"/>
                      </a:rPr>
                      <a:t>78</a:t>
                    </a:r>
                    <a:r>
                      <a:rPr lang="ru-RU" sz="1400">
                        <a:latin typeface="Times New Roman" pitchFamily="18" charset="0"/>
                        <a:cs typeface="Times New Roman" pitchFamily="18" charset="0"/>
                      </a:rPr>
                      <a:t> %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0.42009699874472212"/>
                </c:manualLayout>
              </c:layout>
              <c:tx>
                <c:rich>
                  <a:bodyPr/>
                  <a:lstStyle/>
                  <a:p>
                    <a:pPr>
                      <a:defRPr sz="1400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en-US" sz="1400">
                        <a:latin typeface="Times New Roman" pitchFamily="18" charset="0"/>
                        <a:cs typeface="Times New Roman" pitchFamily="18" charset="0"/>
                      </a:rPr>
                      <a:t>83,2</a:t>
                    </a:r>
                    <a:r>
                      <a:rPr lang="ru-RU" sz="1400">
                        <a:latin typeface="Times New Roman" pitchFamily="18" charset="0"/>
                        <a:cs typeface="Times New Roman" pitchFamily="18" charset="0"/>
                      </a:rPr>
                      <a:t> %</a:t>
                    </a:r>
                    <a:endParaRPr lang="en-US"/>
                  </a:p>
                </c:rich>
              </c:tx>
              <c:spPr>
                <a:noFill/>
              </c:sp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1197668256491787E-3"/>
                  <c:y val="-0.41304404884172086"/>
                </c:manualLayout>
              </c:layout>
              <c:tx>
                <c:rich>
                  <a:bodyPr/>
                  <a:lstStyle/>
                  <a:p>
                    <a:r>
                      <a:rPr lang="en-US" sz="1400">
                        <a:latin typeface="Times New Roman" pitchFamily="18" charset="0"/>
                        <a:cs typeface="Times New Roman" pitchFamily="18" charset="0"/>
                      </a:rPr>
                      <a:t>80,2</a:t>
                    </a:r>
                    <a:r>
                      <a:rPr lang="ru-RU" sz="1400">
                        <a:latin typeface="Times New Roman" pitchFamily="18" charset="0"/>
                        <a:cs typeface="Times New Roman" pitchFamily="18" charset="0"/>
                      </a:rPr>
                      <a:t> %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Лекции</c:v>
                </c:pt>
                <c:pt idx="1">
                  <c:v>Практические занятия</c:v>
                </c:pt>
                <c:pt idx="2">
                  <c:v>Отношение к студентам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78</c:v>
                </c:pt>
                <c:pt idx="1">
                  <c:v>83.2</c:v>
                </c:pt>
                <c:pt idx="2">
                  <c:v>80.2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0389504"/>
        <c:axId val="150391040"/>
      </c:barChart>
      <c:catAx>
        <c:axId val="150389504"/>
        <c:scaling>
          <c:orientation val="minMax"/>
        </c:scaling>
        <c:delete val="1"/>
        <c:axPos val="b"/>
        <c:majorTickMark val="out"/>
        <c:minorTickMark val="none"/>
        <c:tickLblPos val="nextTo"/>
        <c:crossAx val="150391040"/>
        <c:crosses val="autoZero"/>
        <c:auto val="1"/>
        <c:lblAlgn val="ctr"/>
        <c:lblOffset val="100"/>
        <c:noMultiLvlLbl val="0"/>
      </c:catAx>
      <c:valAx>
        <c:axId val="150391040"/>
        <c:scaling>
          <c:orientation val="minMax"/>
          <c:min val="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400"/>
                </a:pPr>
                <a:r>
                  <a:rPr lang="ru-RU" sz="1400" b="0">
                    <a:latin typeface="Times New Roman" pitchFamily="18" charset="0"/>
                    <a:cs typeface="Times New Roman" pitchFamily="18" charset="0"/>
                  </a:rPr>
                  <a:t>Проценты</a:t>
                </a:r>
              </a:p>
            </c:rich>
          </c:tx>
          <c:overlay val="0"/>
        </c:title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400" baseline="0"/>
            </a:pPr>
            <a:endParaRPr lang="ru-RU"/>
          </a:p>
        </c:txPr>
        <c:crossAx val="1503895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490296224895572"/>
          <c:y val="0.23935703123814725"/>
          <c:w val="0.21237843679714916"/>
          <c:h val="0.49806836284192801"/>
        </c:manualLayout>
      </c:layout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0212961587348751"/>
          <c:y val="4.4057617797775277E-2"/>
          <c:w val="0.66558625926476167"/>
          <c:h val="0.9118847644044494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pattFill prst="wdDnDiag">
                <a:fgClr>
                  <a:sysClr val="windowText" lastClr="000000"/>
                </a:fgClr>
                <a:bgClr>
                  <a:sysClr val="window" lastClr="FFFFFF"/>
                </a:bgClr>
              </a:pattFill>
            </c:spPr>
          </c:dPt>
          <c:dPt>
            <c:idx val="1"/>
            <c:invertIfNegative val="0"/>
            <c:bubble3D val="0"/>
            <c:spPr>
              <a:pattFill prst="dkHorz">
                <a:fgClr>
                  <a:sysClr val="windowText" lastClr="000000"/>
                </a:fgClr>
                <a:bgClr>
                  <a:sysClr val="window" lastClr="FFFFFF"/>
                </a:bgClr>
              </a:pattFill>
            </c:spPr>
          </c:dPt>
          <c:dLbls>
            <c:dLbl>
              <c:idx val="0"/>
              <c:layout>
                <c:manualLayout>
                  <c:x val="0"/>
                  <c:y val="-0.35990719910011254"/>
                </c:manualLayout>
              </c:layout>
              <c:tx>
                <c:rich>
                  <a:bodyPr/>
                  <a:lstStyle/>
                  <a:p>
                    <a:r>
                      <a:rPr lang="en-US" sz="1400">
                        <a:latin typeface="Times New Roman" pitchFamily="18" charset="0"/>
                        <a:cs typeface="Times New Roman" pitchFamily="18" charset="0"/>
                      </a:rPr>
                      <a:t>59,1</a:t>
                    </a:r>
                    <a:r>
                      <a:rPr lang="ru-RU" sz="1400">
                        <a:latin typeface="Times New Roman" pitchFamily="18" charset="0"/>
                        <a:cs typeface="Times New Roman" pitchFamily="18" charset="0"/>
                      </a:rPr>
                      <a:t> ;%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0.45270559930008747"/>
                </c:manualLayout>
              </c:layout>
              <c:tx>
                <c:rich>
                  <a:bodyPr/>
                  <a:lstStyle/>
                  <a:p>
                    <a:pPr>
                      <a:defRPr sz="1400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en-US" sz="1400">
                        <a:latin typeface="Times New Roman" pitchFamily="18" charset="0"/>
                        <a:cs typeface="Times New Roman" pitchFamily="18" charset="0"/>
                      </a:rPr>
                      <a:t>77,3</a:t>
                    </a:r>
                    <a:r>
                      <a:rPr lang="ru-RU" sz="1400">
                        <a:latin typeface="Times New Roman" pitchFamily="18" charset="0"/>
                        <a:cs typeface="Times New Roman" pitchFamily="18" charset="0"/>
                      </a:rPr>
                      <a:t> %</a:t>
                    </a:r>
                    <a:endParaRPr lang="en-US"/>
                  </a:p>
                </c:rich>
              </c:tx>
              <c:spPr>
                <a:noFill/>
              </c:sp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4875562720133283E-17"/>
                  <c:y val="-0.3007249093863267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Активность на лекциях</c:v>
                </c:pt>
                <c:pt idx="1">
                  <c:v>Активность на практических занятиях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59.1</c:v>
                </c:pt>
                <c:pt idx="1">
                  <c:v>77.3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0380544"/>
        <c:axId val="150382080"/>
      </c:barChart>
      <c:catAx>
        <c:axId val="150380544"/>
        <c:scaling>
          <c:orientation val="minMax"/>
        </c:scaling>
        <c:delete val="1"/>
        <c:axPos val="b"/>
        <c:majorTickMark val="out"/>
        <c:minorTickMark val="none"/>
        <c:tickLblPos val="nextTo"/>
        <c:crossAx val="150382080"/>
        <c:crosses val="autoZero"/>
        <c:auto val="1"/>
        <c:lblAlgn val="ctr"/>
        <c:lblOffset val="100"/>
        <c:noMultiLvlLbl val="0"/>
      </c:catAx>
      <c:valAx>
        <c:axId val="15038208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400"/>
                </a:pPr>
                <a:r>
                  <a:rPr lang="ru-RU" sz="1400" b="0">
                    <a:latin typeface="Times New Roman" pitchFamily="18" charset="0"/>
                    <a:cs typeface="Times New Roman" pitchFamily="18" charset="0"/>
                  </a:rPr>
                  <a:t>Проценты</a:t>
                </a:r>
              </a:p>
            </c:rich>
          </c:tx>
          <c:overlay val="0"/>
        </c:title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400" baseline="0"/>
            </a:pPr>
            <a:endParaRPr lang="ru-RU"/>
          </a:p>
        </c:txPr>
        <c:crossAx val="1503805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733851664768316"/>
          <c:y val="0.25921291088613929"/>
          <c:w val="0.22008286700011556"/>
          <c:h val="0.50131608548931383"/>
        </c:manualLayout>
      </c:layout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  <c:showDLblsOverMax val="0"/>
  </c:chart>
  <c:spPr>
    <a:noFill/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365350672629336"/>
          <c:y val="4.740143702509627E-2"/>
          <c:w val="0.59775174444657841"/>
          <c:h val="0.905197125949807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pattFill prst="narVert">
                <a:fgClr>
                  <a:sysClr val="windowText" lastClr="000000"/>
                </a:fgClr>
                <a:bgClr>
                  <a:sysClr val="window" lastClr="FFFFFF"/>
                </a:bgClr>
              </a:pattFill>
            </c:spPr>
          </c:dPt>
          <c:dPt>
            <c:idx val="1"/>
            <c:invertIfNegative val="0"/>
            <c:bubble3D val="0"/>
            <c:spPr>
              <a:pattFill prst="dkUpDiag">
                <a:fgClr>
                  <a:sysClr val="windowText" lastClr="000000"/>
                </a:fgClr>
                <a:bgClr>
                  <a:sysClr val="window" lastClr="FFFFFF"/>
                </a:bgClr>
              </a:pattFill>
            </c:spPr>
          </c:dPt>
          <c:dPt>
            <c:idx val="2"/>
            <c:invertIfNegative val="0"/>
            <c:bubble3D val="0"/>
            <c:spPr>
              <a:pattFill prst="dkHorz">
                <a:fgClr>
                  <a:sysClr val="windowText" lastClr="000000"/>
                </a:fgClr>
                <a:bgClr>
                  <a:sysClr val="window" lastClr="FFFFFF"/>
                </a:bgClr>
              </a:pattFill>
            </c:spPr>
          </c:dPt>
          <c:dPt>
            <c:idx val="3"/>
            <c:invertIfNegative val="0"/>
            <c:bubble3D val="0"/>
            <c:spPr>
              <a:pattFill prst="dkVert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4"/>
            <c:invertIfNegative val="0"/>
            <c:bubble3D val="0"/>
            <c:spPr>
              <a:pattFill prst="narHorz">
                <a:fgClr>
                  <a:sysClr val="windowText" lastClr="000000"/>
                </a:fgClr>
                <a:bgClr>
                  <a:sysClr val="window" lastClr="FFFFFF"/>
                </a:bgClr>
              </a:pattFill>
            </c:spPr>
          </c:dPt>
          <c:dLbls>
            <c:dLbl>
              <c:idx val="0"/>
              <c:layout>
                <c:manualLayout>
                  <c:x val="9.2671952591291944E-3"/>
                  <c:y val="-0.40543286419906172"/>
                </c:manualLayout>
              </c:layout>
              <c:tx>
                <c:rich>
                  <a:bodyPr/>
                  <a:lstStyle/>
                  <a:p>
                    <a:r>
                      <a:rPr lang="en-US" sz="1400">
                        <a:latin typeface="Times New Roman" pitchFamily="18" charset="0"/>
                        <a:cs typeface="Times New Roman" pitchFamily="18" charset="0"/>
                      </a:rPr>
                      <a:t>74,1</a:t>
                    </a:r>
                    <a:r>
                      <a:rPr lang="ru-RU" sz="1400">
                        <a:latin typeface="Times New Roman" pitchFamily="18" charset="0"/>
                        <a:cs typeface="Times New Roman" pitchFamily="18" charset="0"/>
                      </a:rPr>
                      <a:t> %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0.45270559930008747"/>
                </c:manualLayout>
              </c:layout>
              <c:tx>
                <c:rich>
                  <a:bodyPr/>
                  <a:lstStyle/>
                  <a:p>
                    <a:pPr>
                      <a:defRPr sz="1400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en-US" sz="1400">
                        <a:latin typeface="Times New Roman" pitchFamily="18" charset="0"/>
                        <a:cs typeface="Times New Roman" pitchFamily="18" charset="0"/>
                      </a:rPr>
                      <a:t>76,7</a:t>
                    </a:r>
                    <a:r>
                      <a:rPr lang="ru-RU" sz="1400">
                        <a:latin typeface="Times New Roman" pitchFamily="18" charset="0"/>
                        <a:cs typeface="Times New Roman" pitchFamily="18" charset="0"/>
                      </a:rPr>
                      <a:t> %</a:t>
                    </a:r>
                    <a:endParaRPr lang="en-US"/>
                  </a:p>
                </c:rich>
              </c:tx>
              <c:spPr>
                <a:noFill/>
              </c:sp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0.35231221097362825"/>
                </c:manualLayout>
              </c:layout>
              <c:tx>
                <c:rich>
                  <a:bodyPr/>
                  <a:lstStyle/>
                  <a:p>
                    <a:r>
                      <a:rPr lang="en-US" sz="1400">
                        <a:latin typeface="Times New Roman" pitchFamily="18" charset="0"/>
                        <a:cs typeface="Times New Roman" pitchFamily="18" charset="0"/>
                      </a:rPr>
                      <a:t>58</a:t>
                    </a:r>
                    <a:r>
                      <a:rPr lang="ru-RU" sz="1400">
                        <a:latin typeface="Times New Roman" pitchFamily="18" charset="0"/>
                        <a:cs typeface="Times New Roman" pitchFamily="18" charset="0"/>
                      </a:rPr>
                      <a:t> %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3148148148148147E-3"/>
                  <c:y val="-0.40069397575303084"/>
                </c:manualLayout>
              </c:layout>
              <c:tx>
                <c:rich>
                  <a:bodyPr/>
                  <a:lstStyle/>
                  <a:p>
                    <a:r>
                      <a:rPr lang="en-US" sz="1400">
                        <a:latin typeface="Times New Roman" pitchFamily="18" charset="0"/>
                        <a:cs typeface="Times New Roman" pitchFamily="18" charset="0"/>
                      </a:rPr>
                      <a:t>68,6</a:t>
                    </a:r>
                    <a:r>
                      <a:rPr lang="ru-RU" sz="1400">
                        <a:latin typeface="Times New Roman" pitchFamily="18" charset="0"/>
                        <a:cs typeface="Times New Roman" pitchFamily="18" charset="0"/>
                      </a:rPr>
                      <a:t> %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6296296296296294E-3"/>
                  <c:y val="-0.41614423197100364"/>
                </c:manualLayout>
              </c:layout>
              <c:tx>
                <c:rich>
                  <a:bodyPr/>
                  <a:lstStyle/>
                  <a:p>
                    <a:r>
                      <a:rPr lang="en-US" sz="1400">
                        <a:latin typeface="Times New Roman" pitchFamily="18" charset="0"/>
                        <a:cs typeface="Times New Roman" pitchFamily="18" charset="0"/>
                      </a:rPr>
                      <a:t>64,6</a:t>
                    </a:r>
                    <a:r>
                      <a:rPr lang="ru-RU" sz="1400">
                        <a:latin typeface="Times New Roman" pitchFamily="18" charset="0"/>
                        <a:cs typeface="Times New Roman" pitchFamily="18" charset="0"/>
                      </a:rPr>
                      <a:t> %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Объем учебной дисциплины</c:v>
                </c:pt>
                <c:pt idx="1">
                  <c:v>Навыки для пополнения знаний</c:v>
                </c:pt>
                <c:pt idx="2">
                  <c:v>Достаточность учебно-метод. материалов</c:v>
                </c:pt>
                <c:pt idx="3">
                  <c:v>Полезность для дальнейшей учебы</c:v>
                </c:pt>
                <c:pt idx="4">
                  <c:v>Полезность для профессионал. деятельности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74.099999999999994</c:v>
                </c:pt>
                <c:pt idx="1">
                  <c:v>76.7</c:v>
                </c:pt>
                <c:pt idx="2">
                  <c:v>58</c:v>
                </c:pt>
                <c:pt idx="3">
                  <c:v>68.599999999999994</c:v>
                </c:pt>
                <c:pt idx="4">
                  <c:v>64.599999999999994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0518528"/>
        <c:axId val="160520064"/>
      </c:barChart>
      <c:catAx>
        <c:axId val="160518528"/>
        <c:scaling>
          <c:orientation val="minMax"/>
        </c:scaling>
        <c:delete val="1"/>
        <c:axPos val="b"/>
        <c:majorTickMark val="out"/>
        <c:minorTickMark val="none"/>
        <c:tickLblPos val="nextTo"/>
        <c:crossAx val="160520064"/>
        <c:crosses val="autoZero"/>
        <c:auto val="1"/>
        <c:lblAlgn val="ctr"/>
        <c:lblOffset val="100"/>
        <c:noMultiLvlLbl val="0"/>
      </c:catAx>
      <c:valAx>
        <c:axId val="16052006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sz="1400" b="0">
                    <a:latin typeface="Times New Roman" pitchFamily="18" charset="0"/>
                    <a:cs typeface="Times New Roman" pitchFamily="18" charset="0"/>
                  </a:rPr>
                  <a:t>Проценты</a:t>
                </a:r>
              </a:p>
            </c:rich>
          </c:tx>
          <c:overlay val="0"/>
        </c:title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400" baseline="0"/>
            </a:pPr>
            <a:endParaRPr lang="ru-RU"/>
          </a:p>
        </c:txPr>
        <c:crossAx val="1605185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972234178123231"/>
          <c:y val="3.5746268150589698E-2"/>
          <c:w val="0.24741592188436254"/>
          <c:h val="0.92850719241490154"/>
        </c:manualLayout>
      </c:layout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физфак</c:v>
                </c:pt>
              </c:strCache>
            </c:strRef>
          </c:tx>
          <c:spPr>
            <a:pattFill prst="ltDnDiag">
              <a:fgClr>
                <a:sysClr val="windowText" lastClr="000000"/>
              </a:fgClr>
              <a:bgClr>
                <a:sysClr val="window" lastClr="FFFFFF"/>
              </a:bgClr>
            </a:pattFill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0"/>
                  <c:y val="-4.45186421814134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Итоговая оценка удовлетворенности по анкете ОУ/n (MAX средний рейтинг)= 250/10=25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0.48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естфак</c:v>
                </c:pt>
              </c:strCache>
            </c:strRef>
          </c:tx>
          <c:spPr>
            <a:pattFill prst="ltVert">
              <a:fgClr>
                <a:sysClr val="windowText" lastClr="000000"/>
              </a:fgClr>
              <a:bgClr>
                <a:sysClr val="window" lastClr="FFFFFF"/>
              </a:bgClr>
            </a:pattFill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Итоговая оценка удовлетворенности по анкете ОУ/n (MAX средний рейтинг)= 250/10=25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0.52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истфак</c:v>
                </c:pt>
              </c:strCache>
            </c:strRef>
          </c:tx>
          <c:spPr>
            <a:pattFill prst="pct5">
              <a:fgClr>
                <a:sysClr val="windowText" lastClr="000000"/>
              </a:fgClr>
              <a:bgClr>
                <a:sysClr val="window" lastClr="FFFFFF"/>
              </a:bgClr>
            </a:pattFill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Итоговая оценка удовлетворенности по анкете ОУ/n (MAX средний рейтинг)= 250/10=25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0.66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фдо</c:v>
                </c:pt>
              </c:strCache>
            </c:strRef>
          </c:tx>
          <c:spPr>
            <a:pattFill prst="dashUpDiag">
              <a:fgClr>
                <a:sysClr val="windowText" lastClr="000000"/>
              </a:fgClr>
              <a:bgClr>
                <a:sysClr val="window" lastClr="FFFFFF"/>
              </a:bgClr>
            </a:pattFill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-3.8253774747102328E-17"/>
                  <c:y val="-6.6777963272120202E-3"/>
                </c:manualLayout>
              </c:layout>
              <c:tx>
                <c:rich>
                  <a:bodyPr/>
                  <a:lstStyle/>
                  <a:p>
                    <a:pPr>
                      <a:defRPr sz="1400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en-US" sz="1400">
                        <a:latin typeface="Times New Roman" pitchFamily="18" charset="0"/>
                        <a:cs typeface="Times New Roman" pitchFamily="18" charset="0"/>
                      </a:rPr>
                      <a:t>68%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Итоговая оценка удовлетворенности по анкете ОУ/n (MAX средний рейтинг)= 250/10=25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0.68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фсо</c:v>
                </c:pt>
              </c:strCache>
            </c:strRef>
          </c:tx>
          <c:spPr>
            <a:pattFill prst="dashVert">
              <a:fgClr>
                <a:sysClr val="windowText" lastClr="000000"/>
              </a:fgClr>
              <a:bgClr>
                <a:sysClr val="window" lastClr="FFFFFF"/>
              </a:bgClr>
            </a:pattFill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Итоговая оценка удовлетворенности по анкете ОУ/n (MAX средний рейтинг)= 250/10=25</c:v>
                </c:pt>
              </c:strCache>
            </c:strRef>
          </c:cat>
          <c:val>
            <c:numRef>
              <c:f>Лист1!$F$2</c:f>
              <c:numCache>
                <c:formatCode>0%</c:formatCode>
                <c:ptCount val="1"/>
                <c:pt idx="0">
                  <c:v>0.7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фбирб</c:v>
                </c:pt>
              </c:strCache>
            </c:strRef>
          </c:tx>
          <c:spPr>
            <a:pattFill prst="dashHorz">
              <a:fgClr>
                <a:sysClr val="windowText" lastClr="000000"/>
              </a:fgClr>
              <a:bgClr>
                <a:sysClr val="window" lastClr="FFFFFF"/>
              </a:bgClr>
            </a:pattFill>
          </c:spPr>
          <c:invertIfNegative val="0"/>
          <c:dPt>
            <c:idx val="0"/>
            <c:invertIfNegative val="0"/>
            <c:bubble3D val="0"/>
            <c:spPr>
              <a:pattFill prst="dashHorz">
                <a:fgClr>
                  <a:sysClr val="windowText" lastClr="000000"/>
                </a:fgClr>
                <a:bgClr>
                  <a:sysClr val="window" lastClr="FFFFFF"/>
                </a:bgClr>
              </a:pattFill>
              <a:scene3d>
                <a:camera prst="orthographicFront"/>
                <a:lightRig rig="threePt" dir="t"/>
              </a:scene3d>
              <a:sp3d>
                <a:bevelT w="190500" h="38100"/>
              </a:sp3d>
            </c:spPr>
          </c:dPt>
          <c:dLbls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Итоговая оценка удовлетворенности по анкете ОУ/n (MAX средний рейтинг)= 250/10=25</c:v>
                </c:pt>
              </c:strCache>
            </c:strRef>
          </c:cat>
          <c:val>
            <c:numRef>
              <c:f>Лист1!$G$2</c:f>
              <c:numCache>
                <c:formatCode>0%</c:formatCode>
                <c:ptCount val="1"/>
                <c:pt idx="0">
                  <c:v>0.7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фэо</c:v>
                </c:pt>
              </c:strCache>
            </c:strRef>
          </c:tx>
          <c:spPr>
            <a:pattFill prst="diagBrick">
              <a:fgClr>
                <a:sysClr val="windowText" lastClr="000000"/>
              </a:fgClr>
              <a:bgClr>
                <a:sysClr val="window" lastClr="FFFFFF"/>
              </a:bgClr>
            </a:pattFill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Итоговая оценка удовлетворенности по анкете ОУ/n (MAX средний рейтинг)= 250/10=25</c:v>
                </c:pt>
              </c:strCache>
            </c:strRef>
          </c:cat>
          <c:val>
            <c:numRef>
              <c:f>Лист1!$H$2</c:f>
              <c:numCache>
                <c:formatCode>0%</c:formatCode>
                <c:ptCount val="1"/>
                <c:pt idx="0">
                  <c:v>0.74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матфак</c:v>
                </c:pt>
              </c:strCache>
            </c:strRef>
          </c:tx>
          <c:spPr>
            <a:pattFill prst="dkHorz">
              <a:fgClr>
                <a:sysClr val="windowText" lastClr="000000"/>
              </a:fgClr>
              <a:bgClr>
                <a:sysClr val="window" lastClr="FFFFFF"/>
              </a:bgClr>
            </a:pattFill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Итоговая оценка удовлетворенности по анкете ОУ/n (MAX средний рейтинг)= 250/10=25</c:v>
                </c:pt>
              </c:strCache>
            </c:strRef>
          </c:cat>
          <c:val>
            <c:numRef>
              <c:f>Лист1!$I$2</c:f>
              <c:numCache>
                <c:formatCode>0%</c:formatCode>
                <c:ptCount val="1"/>
                <c:pt idx="0">
                  <c:v>0.82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фно</c:v>
                </c:pt>
              </c:strCache>
            </c:strRef>
          </c:tx>
          <c:spPr>
            <a:pattFill prst="dkVert">
              <a:fgClr>
                <a:sysClr val="windowText" lastClr="000000"/>
              </a:fgClr>
              <a:bgClr>
                <a:sysClr val="window" lastClr="FFFFFF"/>
              </a:bgClr>
            </a:pattFill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Итоговая оценка удовлетворенности по анкете ОУ/n (MAX средний рейтинг)= 250/10=25</c:v>
                </c:pt>
              </c:strCache>
            </c:strRef>
          </c:cat>
          <c:val>
            <c:numRef>
              <c:f>Лист1!$J$2</c:f>
              <c:numCache>
                <c:formatCode>0%</c:formatCode>
                <c:ptCount val="1"/>
                <c:pt idx="0">
                  <c:v>0.83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фп</c:v>
                </c:pt>
              </c:strCache>
            </c:strRef>
          </c:tx>
          <c:spPr>
            <a:pattFill prst="lgCheck">
              <a:fgClr>
                <a:sysClr val="windowText" lastClr="000000"/>
              </a:fgClr>
              <a:bgClr>
                <a:sysClr val="window" lastClr="FFFFFF"/>
              </a:bgClr>
            </a:pattFill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Итоговая оценка удовлетворенности по анкете ОУ/n (MAX средний рейтинг)= 250/10=25</c:v>
                </c:pt>
              </c:strCache>
            </c:strRef>
          </c:cat>
          <c:val>
            <c:numRef>
              <c:f>Лист1!$K$2</c:f>
              <c:numCache>
                <c:formatCode>0%</c:formatCode>
                <c:ptCount val="1"/>
                <c:pt idx="0">
                  <c:v>0.83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фспт</c:v>
                </c:pt>
              </c:strCache>
            </c:strRef>
          </c:tx>
          <c:spPr>
            <a:pattFill prst="divot">
              <a:fgClr>
                <a:sysClr val="windowText" lastClr="000000"/>
              </a:fgClr>
              <a:bgClr>
                <a:sysClr val="window" lastClr="FFFFFF"/>
              </a:bgClr>
            </a:pattFill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-7.6507549494204655E-17"/>
                  <c:y val="6.67779632721202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Итоговая оценка удовлетворенности по анкете ОУ/n (MAX средний рейтинг)= 250/10=25</c:v>
                </c:pt>
              </c:strCache>
            </c:strRef>
          </c:cat>
          <c:val>
            <c:numRef>
              <c:f>Лист1!$L$2</c:f>
              <c:numCache>
                <c:formatCode>0%</c:formatCode>
                <c:ptCount val="1"/>
                <c:pt idx="0">
                  <c:v>0.86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фно1</c:v>
                </c:pt>
              </c:strCache>
            </c:strRef>
          </c:tx>
          <c:spPr>
            <a:pattFill prst="lgGrid">
              <a:fgClr>
                <a:sysClr val="windowText" lastClr="000000"/>
              </a:fgClr>
              <a:bgClr>
                <a:sysClr val="window" lastClr="FFFFFF"/>
              </a:bgClr>
            </a:pattFill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0"/>
                  <c:y val="-6.67779632721200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Итоговая оценка удовлетворенности по анкете ОУ/n (MAX средний рейтинг)= 250/10=25</c:v>
                </c:pt>
              </c:strCache>
            </c:strRef>
          </c:cat>
          <c:val>
            <c:numRef>
              <c:f>Лист1!$M$2</c:f>
              <c:numCache>
                <c:formatCode>0%</c:formatCode>
                <c:ptCount val="1"/>
                <c:pt idx="0">
                  <c:v>0.88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2738688"/>
        <c:axId val="112740224"/>
      </c:barChart>
      <c:catAx>
        <c:axId val="112738688"/>
        <c:scaling>
          <c:orientation val="minMax"/>
        </c:scaling>
        <c:delete val="1"/>
        <c:axPos val="b"/>
        <c:majorTickMark val="out"/>
        <c:minorTickMark val="none"/>
        <c:tickLblPos val="nextTo"/>
        <c:crossAx val="112740224"/>
        <c:crosses val="autoZero"/>
        <c:auto val="1"/>
        <c:lblAlgn val="ctr"/>
        <c:lblOffset val="100"/>
        <c:noMultiLvlLbl val="0"/>
      </c:catAx>
      <c:valAx>
        <c:axId val="11274022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2738688"/>
        <c:crosses val="autoZero"/>
        <c:crossBetween val="between"/>
      </c:valAx>
      <c:spPr>
        <a:scene3d>
          <a:camera prst="orthographicFront"/>
          <a:lightRig rig="threePt" dir="t"/>
        </a:scene3d>
        <a:sp3d>
          <a:bevelT/>
        </a:sp3d>
      </c:spPr>
    </c:plotArea>
    <c:legend>
      <c:legendPos val="r"/>
      <c:legendEntry>
        <c:idx val="0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4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5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6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7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8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9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0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1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86598104814362997"/>
          <c:y val="4.3777424316117426E-2"/>
          <c:w val="0.12581009533432735"/>
          <c:h val="0.86854013031342703"/>
        </c:manualLayout>
      </c:layout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0.79511</cdr:x>
      <cdr:y>0.1856</cdr:y>
    </cdr:from>
    <cdr:to>
      <cdr:x>0.85365</cdr:x>
      <cdr:y>0.27424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7280385" y="1056290"/>
          <a:ext cx="536028" cy="50449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400"/>
        </a:p>
      </cdr:txBody>
    </cdr:sp>
  </cdr:relSizeAnchor>
  <cdr:relSizeAnchor xmlns:cdr="http://schemas.openxmlformats.org/drawingml/2006/chartDrawing">
    <cdr:from>
      <cdr:x>0.73312</cdr:x>
      <cdr:y>0.22438</cdr:y>
    </cdr:from>
    <cdr:to>
      <cdr:x>0.80716</cdr:x>
      <cdr:y>0.31856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6712827" y="1277006"/>
          <a:ext cx="677917" cy="53602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400"/>
        </a:p>
      </cdr:txBody>
    </cdr:sp>
  </cdr:relSizeAnchor>
  <cdr:relSizeAnchor xmlns:cdr="http://schemas.openxmlformats.org/drawingml/2006/chartDrawing">
    <cdr:from>
      <cdr:x>0.67458</cdr:x>
      <cdr:y>0.26039</cdr:y>
    </cdr:from>
    <cdr:to>
      <cdr:x>0.72796</cdr:x>
      <cdr:y>0.34626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6176798" y="1481959"/>
          <a:ext cx="488731" cy="4887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400"/>
        </a:p>
      </cdr:txBody>
    </cdr:sp>
  </cdr:relSizeAnchor>
  <cdr:relSizeAnchor xmlns:cdr="http://schemas.openxmlformats.org/drawingml/2006/chartDrawing">
    <cdr:from>
      <cdr:x>0.63326</cdr:x>
      <cdr:y>0.39335</cdr:y>
    </cdr:from>
    <cdr:to>
      <cdr:x>0.73312</cdr:x>
      <cdr:y>0.55402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5798426" y="2238703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0.60055</cdr:x>
      <cdr:y>0.30471</cdr:y>
    </cdr:from>
    <cdr:to>
      <cdr:x>0.66253</cdr:x>
      <cdr:y>0.38227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5498881" y="1734206"/>
          <a:ext cx="567558" cy="44143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400"/>
        </a:p>
      </cdr:txBody>
    </cdr:sp>
  </cdr:relSizeAnchor>
  <cdr:relSizeAnchor xmlns:cdr="http://schemas.openxmlformats.org/drawingml/2006/chartDrawing">
    <cdr:from>
      <cdr:x>0.53512</cdr:x>
      <cdr:y>0.34903</cdr:y>
    </cdr:from>
    <cdr:to>
      <cdr:x>0.62293</cdr:x>
      <cdr:y>0.42659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4899791" y="1986456"/>
          <a:ext cx="804041" cy="4414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400"/>
        </a:p>
      </cdr:txBody>
    </cdr:sp>
  </cdr:relSizeAnchor>
  <cdr:relSizeAnchor xmlns:cdr="http://schemas.openxmlformats.org/drawingml/2006/chartDrawing">
    <cdr:from>
      <cdr:x>0.48174</cdr:x>
      <cdr:y>0.39612</cdr:y>
    </cdr:from>
    <cdr:to>
      <cdr:x>0.542</cdr:x>
      <cdr:y>0.47645</cdr:y>
    </cdr:to>
    <cdr:sp macro="" textlink="">
      <cdr:nvSpPr>
        <cdr:cNvPr id="8" name="TextBox 7"/>
        <cdr:cNvSpPr txBox="1"/>
      </cdr:nvSpPr>
      <cdr:spPr>
        <a:xfrm xmlns:a="http://schemas.openxmlformats.org/drawingml/2006/main">
          <a:off x="4411060" y="2254469"/>
          <a:ext cx="551793" cy="4572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400"/>
        </a:p>
      </cdr:txBody>
    </cdr:sp>
  </cdr:relSizeAnchor>
  <cdr:relSizeAnchor xmlns:cdr="http://schemas.openxmlformats.org/drawingml/2006/chartDrawing">
    <cdr:from>
      <cdr:x>0.40598</cdr:x>
      <cdr:y>0.43767</cdr:y>
    </cdr:from>
    <cdr:to>
      <cdr:x>0.48002</cdr:x>
      <cdr:y>0.51247</cdr:y>
    </cdr:to>
    <cdr:sp macro="" textlink="">
      <cdr:nvSpPr>
        <cdr:cNvPr id="9" name="TextBox 8"/>
        <cdr:cNvSpPr txBox="1"/>
      </cdr:nvSpPr>
      <cdr:spPr>
        <a:xfrm xmlns:a="http://schemas.openxmlformats.org/drawingml/2006/main">
          <a:off x="3717378" y="2490951"/>
          <a:ext cx="677917" cy="4256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400"/>
        </a:p>
      </cdr:txBody>
    </cdr:sp>
  </cdr:relSizeAnchor>
  <cdr:relSizeAnchor xmlns:cdr="http://schemas.openxmlformats.org/drawingml/2006/chartDrawing">
    <cdr:from>
      <cdr:x>0.35777</cdr:x>
      <cdr:y>0.48753</cdr:y>
    </cdr:from>
    <cdr:to>
      <cdr:x>0.41459</cdr:x>
      <cdr:y>0.56233</cdr:y>
    </cdr:to>
    <cdr:sp macro="" textlink="">
      <cdr:nvSpPr>
        <cdr:cNvPr id="10" name="TextBox 9"/>
        <cdr:cNvSpPr txBox="1"/>
      </cdr:nvSpPr>
      <cdr:spPr>
        <a:xfrm xmlns:a="http://schemas.openxmlformats.org/drawingml/2006/main">
          <a:off x="3275944" y="2774731"/>
          <a:ext cx="520262" cy="4256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400"/>
        </a:p>
      </cdr:txBody>
    </cdr:sp>
  </cdr:relSizeAnchor>
  <cdr:relSizeAnchor xmlns:cdr="http://schemas.openxmlformats.org/drawingml/2006/chartDrawing">
    <cdr:from>
      <cdr:x>0.29579</cdr:x>
      <cdr:y>0.52632</cdr:y>
    </cdr:from>
    <cdr:to>
      <cdr:x>0.35777</cdr:x>
      <cdr:y>0.59557</cdr:y>
    </cdr:to>
    <cdr:sp macro="" textlink="">
      <cdr:nvSpPr>
        <cdr:cNvPr id="11" name="TextBox 10"/>
        <cdr:cNvSpPr txBox="1"/>
      </cdr:nvSpPr>
      <cdr:spPr>
        <a:xfrm xmlns:a="http://schemas.openxmlformats.org/drawingml/2006/main">
          <a:off x="2708384" y="2995449"/>
          <a:ext cx="567559" cy="394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400"/>
        </a:p>
      </cdr:txBody>
    </cdr:sp>
  </cdr:relSizeAnchor>
  <cdr:relSizeAnchor xmlns:cdr="http://schemas.openxmlformats.org/drawingml/2006/chartDrawing">
    <cdr:from>
      <cdr:x>0.22175</cdr:x>
      <cdr:y>0.57895</cdr:y>
    </cdr:from>
    <cdr:to>
      <cdr:x>0.30268</cdr:x>
      <cdr:y>0.65374</cdr:y>
    </cdr:to>
    <cdr:sp macro="" textlink="">
      <cdr:nvSpPr>
        <cdr:cNvPr id="12" name="TextBox 11"/>
        <cdr:cNvSpPr txBox="1"/>
      </cdr:nvSpPr>
      <cdr:spPr>
        <a:xfrm xmlns:a="http://schemas.openxmlformats.org/drawingml/2006/main">
          <a:off x="2030468" y="3294993"/>
          <a:ext cx="740979" cy="4256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400"/>
        </a:p>
      </cdr:txBody>
    </cdr:sp>
  </cdr:relSizeAnchor>
  <cdr:relSizeAnchor xmlns:cdr="http://schemas.openxmlformats.org/drawingml/2006/chartDrawing">
    <cdr:from>
      <cdr:x>0.15805</cdr:x>
      <cdr:y>0.63989</cdr:y>
    </cdr:from>
    <cdr:to>
      <cdr:x>0.23725</cdr:x>
      <cdr:y>0.71745</cdr:y>
    </cdr:to>
    <cdr:sp macro="" textlink="">
      <cdr:nvSpPr>
        <cdr:cNvPr id="13" name="TextBox 12"/>
        <cdr:cNvSpPr txBox="1"/>
      </cdr:nvSpPr>
      <cdr:spPr>
        <a:xfrm xmlns:a="http://schemas.openxmlformats.org/drawingml/2006/main">
          <a:off x="1447142" y="3641835"/>
          <a:ext cx="725215" cy="4414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400"/>
        </a:p>
      </cdr:txBody>
    </cdr:sp>
  </cdr:relSizeAnchor>
  <cdr:relSizeAnchor xmlns:cdr="http://schemas.openxmlformats.org/drawingml/2006/chartDrawing">
    <cdr:from>
      <cdr:x>0.0909</cdr:x>
      <cdr:y>0.70914</cdr:y>
    </cdr:from>
    <cdr:to>
      <cdr:x>0.1701</cdr:x>
      <cdr:y>0.759</cdr:y>
    </cdr:to>
    <cdr:sp macro="" textlink="">
      <cdr:nvSpPr>
        <cdr:cNvPr id="14" name="TextBox 13"/>
        <cdr:cNvSpPr txBox="1"/>
      </cdr:nvSpPr>
      <cdr:spPr>
        <a:xfrm xmlns:a="http://schemas.openxmlformats.org/drawingml/2006/main">
          <a:off x="832288" y="4035972"/>
          <a:ext cx="725213" cy="2837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4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2016-10-31T20:36:00Z</dcterms:created>
  <dcterms:modified xsi:type="dcterms:W3CDTF">2016-10-31T20:36:00Z</dcterms:modified>
</cp:coreProperties>
</file>